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36E1" w14:textId="77777777" w:rsidR="006809F4" w:rsidRDefault="006809F4" w:rsidP="006809F4">
      <w:pPr>
        <w:spacing w:line="276" w:lineRule="auto"/>
      </w:pPr>
      <w:r>
        <w:t>GRADITELJSKO GEODETSKA ŠKOLA OSIJEK</w:t>
      </w:r>
    </w:p>
    <w:p w14:paraId="36A516ED" w14:textId="77777777" w:rsidR="006809F4" w:rsidRDefault="006809F4" w:rsidP="006809F4">
      <w:pPr>
        <w:spacing w:line="276" w:lineRule="auto"/>
      </w:pPr>
      <w:r>
        <w:t xml:space="preserve">OSIJEK, Drinska </w:t>
      </w:r>
      <w:smartTag w:uri="urn:schemas-microsoft-com:office:smarttags" w:element="metricconverter">
        <w:smartTagPr>
          <w:attr w:name="ProductID" w:val="16 a"/>
        </w:smartTagPr>
        <w:r>
          <w:t>16 a</w:t>
        </w:r>
      </w:smartTag>
    </w:p>
    <w:p w14:paraId="766D5CFC" w14:textId="77777777" w:rsidR="006809F4" w:rsidRDefault="006809F4" w:rsidP="006809F4">
      <w:pPr>
        <w:tabs>
          <w:tab w:val="left" w:pos="6390"/>
        </w:tabs>
        <w:spacing w:line="276" w:lineRule="auto"/>
      </w:pPr>
      <w:r>
        <w:tab/>
      </w:r>
    </w:p>
    <w:p w14:paraId="5C95160C" w14:textId="77777777" w:rsidR="006809F4" w:rsidRDefault="006809F4" w:rsidP="006809F4">
      <w:pPr>
        <w:spacing w:line="276" w:lineRule="auto"/>
        <w:rPr>
          <w:color w:val="000000"/>
        </w:rPr>
      </w:pPr>
      <w:r>
        <w:rPr>
          <w:noProof/>
        </w:rPr>
        <w:drawing>
          <wp:inline distT="0" distB="0" distL="0" distR="0" wp14:anchorId="1EB5FD45" wp14:editId="46C1FC9C">
            <wp:extent cx="2636520" cy="975360"/>
            <wp:effectExtent l="0" t="0" r="0" b="0"/>
            <wp:docPr id="1" name="Picture 1" descr="C:\Users\Računovodstvo\Desktop\thumbnail_Outlook-nzteu3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čunovodstvo\Desktop\thumbnail_Outlook-nzteu3m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B6C7" w14:textId="77777777" w:rsidR="006809F4" w:rsidRDefault="006809F4" w:rsidP="006809F4">
      <w:pPr>
        <w:spacing w:line="276" w:lineRule="auto"/>
        <w:rPr>
          <w:color w:val="000000"/>
        </w:rPr>
      </w:pPr>
      <w:r>
        <w:rPr>
          <w:color w:val="000000"/>
        </w:rPr>
        <w:t xml:space="preserve">Šifra škole: </w:t>
      </w:r>
      <w:r>
        <w:t>14-060-509</w:t>
      </w:r>
    </w:p>
    <w:p w14:paraId="4B1FEA20" w14:textId="77777777" w:rsidR="006809F4" w:rsidRDefault="006809F4" w:rsidP="006809F4">
      <w:pPr>
        <w:spacing w:line="276" w:lineRule="auto"/>
        <w:rPr>
          <w:color w:val="000000"/>
        </w:rPr>
      </w:pPr>
    </w:p>
    <w:p w14:paraId="2265B4CE" w14:textId="5CDE57A6" w:rsidR="006809F4" w:rsidRPr="00443BE9" w:rsidRDefault="006809F4" w:rsidP="006809F4">
      <w:pPr>
        <w:shd w:val="clear" w:color="auto" w:fill="FFFFFF"/>
        <w:spacing w:line="276" w:lineRule="auto"/>
      </w:pPr>
      <w:r>
        <w:rPr>
          <w:color w:val="242424"/>
          <w:bdr w:val="none" w:sz="0" w:space="0" w:color="auto" w:frame="1"/>
        </w:rPr>
        <w:t xml:space="preserve">KLASA: </w:t>
      </w:r>
      <w:r w:rsidRPr="00443BE9">
        <w:rPr>
          <w:bdr w:val="none" w:sz="0" w:space="0" w:color="auto" w:frame="1"/>
        </w:rPr>
        <w:t>400-03/2</w:t>
      </w:r>
      <w:r w:rsidR="00443BE9" w:rsidRPr="00443BE9">
        <w:rPr>
          <w:bdr w:val="none" w:sz="0" w:space="0" w:color="auto" w:frame="1"/>
        </w:rPr>
        <w:t>5</w:t>
      </w:r>
      <w:r w:rsidRPr="00443BE9">
        <w:rPr>
          <w:bdr w:val="none" w:sz="0" w:space="0" w:color="auto" w:frame="1"/>
        </w:rPr>
        <w:t>-01/</w:t>
      </w:r>
      <w:r w:rsidR="00A67C78" w:rsidRPr="00443BE9">
        <w:rPr>
          <w:bdr w:val="none" w:sz="0" w:space="0" w:color="auto" w:frame="1"/>
        </w:rPr>
        <w:t>2</w:t>
      </w:r>
    </w:p>
    <w:p w14:paraId="32D5FAE2" w14:textId="6BC7FB51" w:rsidR="006809F4" w:rsidRPr="00C35683" w:rsidRDefault="006809F4" w:rsidP="006809F4">
      <w:pPr>
        <w:shd w:val="clear" w:color="auto" w:fill="FFFFFF"/>
        <w:spacing w:line="276" w:lineRule="auto"/>
        <w:rPr>
          <w:color w:val="FF0000"/>
        </w:rPr>
      </w:pPr>
      <w:r w:rsidRPr="00FC0B94">
        <w:rPr>
          <w:color w:val="242424"/>
          <w:bdr w:val="none" w:sz="0" w:space="0" w:color="auto" w:frame="1"/>
        </w:rPr>
        <w:t>URBROJ:</w:t>
      </w:r>
      <w:r>
        <w:rPr>
          <w:color w:val="242424"/>
          <w:bdr w:val="none" w:sz="0" w:space="0" w:color="auto" w:frame="1"/>
        </w:rPr>
        <w:t xml:space="preserve"> </w:t>
      </w:r>
      <w:r w:rsidRPr="00443BE9">
        <w:rPr>
          <w:bdr w:val="none" w:sz="0" w:space="0" w:color="auto" w:frame="1"/>
        </w:rPr>
        <w:t>2158-44-2</w:t>
      </w:r>
      <w:r w:rsidR="00443BE9" w:rsidRPr="00443BE9">
        <w:rPr>
          <w:bdr w:val="none" w:sz="0" w:space="0" w:color="auto" w:frame="1"/>
        </w:rPr>
        <w:t>5</w:t>
      </w:r>
      <w:r w:rsidRPr="00443BE9">
        <w:rPr>
          <w:bdr w:val="none" w:sz="0" w:space="0" w:color="auto" w:frame="1"/>
        </w:rPr>
        <w:t>-1</w:t>
      </w:r>
    </w:p>
    <w:p w14:paraId="560684D8" w14:textId="77777777" w:rsidR="006809F4" w:rsidRDefault="006809F4" w:rsidP="006809F4">
      <w:pPr>
        <w:spacing w:line="276" w:lineRule="auto"/>
      </w:pPr>
      <w:r w:rsidRPr="00FC0B94">
        <w:rPr>
          <w:b/>
          <w:color w:val="000000"/>
        </w:rPr>
        <w:t xml:space="preserve">                                                                   </w:t>
      </w:r>
    </w:p>
    <w:p w14:paraId="53233D04" w14:textId="54C4E83D" w:rsidR="006809F4" w:rsidRDefault="006809F4" w:rsidP="006809F4">
      <w:r>
        <w:t xml:space="preserve">Osijek,  </w:t>
      </w:r>
      <w:r w:rsidR="00155243">
        <w:t>16</w:t>
      </w:r>
      <w:r>
        <w:t xml:space="preserve">. </w:t>
      </w:r>
      <w:r w:rsidR="00BC5D3F">
        <w:t>srpnja</w:t>
      </w:r>
      <w:r w:rsidR="00155243">
        <w:t xml:space="preserve"> 2025</w:t>
      </w:r>
      <w:r>
        <w:t>.</w:t>
      </w:r>
      <w:r>
        <w:tab/>
      </w:r>
    </w:p>
    <w:p w14:paraId="09E8A789" w14:textId="77777777" w:rsidR="006809F4" w:rsidRDefault="006809F4" w:rsidP="006809F4"/>
    <w:p w14:paraId="3D6FE785" w14:textId="77777777" w:rsidR="006809F4" w:rsidRDefault="006809F4" w:rsidP="006809F4"/>
    <w:p w14:paraId="0911AE5D" w14:textId="77777777" w:rsidR="006809F4" w:rsidRDefault="006809F4" w:rsidP="006809F4">
      <w:pPr>
        <w:jc w:val="center"/>
        <w:rPr>
          <w:b/>
        </w:rPr>
      </w:pPr>
    </w:p>
    <w:p w14:paraId="065ADF7C" w14:textId="77777777" w:rsidR="006809F4" w:rsidRDefault="006809F4" w:rsidP="006809F4">
      <w:pPr>
        <w:jc w:val="center"/>
        <w:rPr>
          <w:b/>
        </w:rPr>
      </w:pPr>
    </w:p>
    <w:p w14:paraId="673C4647" w14:textId="77777777" w:rsidR="006809F4" w:rsidRDefault="006809F4" w:rsidP="006809F4">
      <w:pPr>
        <w:jc w:val="center"/>
        <w:rPr>
          <w:b/>
        </w:rPr>
      </w:pPr>
    </w:p>
    <w:p w14:paraId="0E60EE68" w14:textId="77777777" w:rsidR="006809F4" w:rsidRDefault="006809F4" w:rsidP="006809F4">
      <w:pPr>
        <w:jc w:val="center"/>
        <w:rPr>
          <w:b/>
        </w:rPr>
      </w:pPr>
    </w:p>
    <w:p w14:paraId="37A6D2BD" w14:textId="77777777" w:rsidR="006809F4" w:rsidRDefault="006809F4" w:rsidP="006809F4">
      <w:pPr>
        <w:jc w:val="center"/>
        <w:rPr>
          <w:b/>
        </w:rPr>
      </w:pPr>
    </w:p>
    <w:p w14:paraId="15EF7707" w14:textId="30CD57C6" w:rsidR="006809F4" w:rsidRPr="008258B6" w:rsidRDefault="00BC5D3F" w:rsidP="006809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POLU</w:t>
      </w:r>
      <w:r w:rsidR="006809F4" w:rsidRPr="008258B6">
        <w:rPr>
          <w:b/>
          <w:sz w:val="40"/>
          <w:szCs w:val="40"/>
        </w:rPr>
        <w:t>GODIŠNJI IZVJEŠTAJ O IZVRŠENJU FINANCIJSKOG PLANA ZA 202</w:t>
      </w:r>
      <w:r w:rsidR="00155243">
        <w:rPr>
          <w:b/>
          <w:sz w:val="40"/>
          <w:szCs w:val="40"/>
        </w:rPr>
        <w:t>5</w:t>
      </w:r>
      <w:r w:rsidR="006809F4" w:rsidRPr="008258B6">
        <w:rPr>
          <w:b/>
          <w:sz w:val="40"/>
          <w:szCs w:val="40"/>
        </w:rPr>
        <w:t>. GODINU</w:t>
      </w:r>
    </w:p>
    <w:p w14:paraId="0A492350" w14:textId="77777777" w:rsidR="008258B6" w:rsidRDefault="008258B6" w:rsidP="00D309C4">
      <w:pPr>
        <w:rPr>
          <w:b/>
          <w:bCs/>
        </w:rPr>
      </w:pPr>
    </w:p>
    <w:p w14:paraId="3D85802B" w14:textId="77777777" w:rsidR="006809F4" w:rsidRDefault="006809F4" w:rsidP="00D309C4">
      <w:pPr>
        <w:rPr>
          <w:b/>
          <w:bCs/>
        </w:rPr>
      </w:pPr>
    </w:p>
    <w:p w14:paraId="28F67DAC" w14:textId="77777777" w:rsidR="006809F4" w:rsidRDefault="006809F4" w:rsidP="00D309C4">
      <w:pPr>
        <w:rPr>
          <w:b/>
          <w:bCs/>
        </w:rPr>
      </w:pPr>
    </w:p>
    <w:p w14:paraId="1ACC65AA" w14:textId="77777777" w:rsidR="006809F4" w:rsidRDefault="006809F4" w:rsidP="00D309C4">
      <w:pPr>
        <w:rPr>
          <w:b/>
          <w:bCs/>
        </w:rPr>
      </w:pPr>
    </w:p>
    <w:p w14:paraId="6ECE140B" w14:textId="77777777" w:rsidR="006809F4" w:rsidRDefault="006809F4" w:rsidP="00D309C4">
      <w:pPr>
        <w:rPr>
          <w:b/>
          <w:bCs/>
        </w:rPr>
      </w:pPr>
    </w:p>
    <w:p w14:paraId="2B7FE501" w14:textId="77777777" w:rsidR="006809F4" w:rsidRDefault="006809F4" w:rsidP="00D309C4">
      <w:pPr>
        <w:rPr>
          <w:b/>
          <w:bCs/>
        </w:rPr>
      </w:pPr>
    </w:p>
    <w:p w14:paraId="49218265" w14:textId="77777777" w:rsidR="006809F4" w:rsidRDefault="006809F4" w:rsidP="00D309C4">
      <w:pPr>
        <w:rPr>
          <w:b/>
          <w:bCs/>
        </w:rPr>
      </w:pPr>
    </w:p>
    <w:p w14:paraId="3FC3AAAF" w14:textId="77777777" w:rsidR="006809F4" w:rsidRDefault="006809F4" w:rsidP="00D309C4">
      <w:pPr>
        <w:rPr>
          <w:b/>
          <w:bCs/>
        </w:rPr>
      </w:pPr>
    </w:p>
    <w:p w14:paraId="21BE841C" w14:textId="77777777" w:rsidR="006809F4" w:rsidRDefault="006809F4" w:rsidP="00D309C4">
      <w:pPr>
        <w:rPr>
          <w:b/>
          <w:bCs/>
        </w:rPr>
      </w:pPr>
    </w:p>
    <w:p w14:paraId="18F69170" w14:textId="77777777" w:rsidR="006809F4" w:rsidRDefault="006809F4" w:rsidP="00D309C4">
      <w:pPr>
        <w:rPr>
          <w:b/>
          <w:bCs/>
        </w:rPr>
      </w:pPr>
    </w:p>
    <w:p w14:paraId="29CCDFCA" w14:textId="77777777" w:rsidR="006809F4" w:rsidRDefault="006809F4" w:rsidP="00D309C4">
      <w:pPr>
        <w:rPr>
          <w:b/>
          <w:bCs/>
        </w:rPr>
      </w:pPr>
    </w:p>
    <w:p w14:paraId="51B58EF3" w14:textId="77777777" w:rsidR="006809F4" w:rsidRDefault="006809F4" w:rsidP="00D309C4">
      <w:pPr>
        <w:rPr>
          <w:b/>
          <w:bCs/>
        </w:rPr>
      </w:pPr>
    </w:p>
    <w:p w14:paraId="71BBE82F" w14:textId="77777777" w:rsidR="006809F4" w:rsidRDefault="006809F4" w:rsidP="00D309C4">
      <w:pPr>
        <w:rPr>
          <w:b/>
          <w:bCs/>
        </w:rPr>
      </w:pPr>
    </w:p>
    <w:p w14:paraId="0A3FD7A1" w14:textId="77777777" w:rsidR="006809F4" w:rsidRDefault="006809F4" w:rsidP="00D309C4">
      <w:pPr>
        <w:rPr>
          <w:b/>
          <w:bCs/>
        </w:rPr>
      </w:pPr>
    </w:p>
    <w:p w14:paraId="0640A596" w14:textId="77777777" w:rsidR="006809F4" w:rsidRDefault="006809F4" w:rsidP="00D309C4">
      <w:pPr>
        <w:rPr>
          <w:b/>
          <w:bCs/>
        </w:rPr>
      </w:pPr>
    </w:p>
    <w:p w14:paraId="6E1CF78C" w14:textId="77777777" w:rsidR="006809F4" w:rsidRDefault="006809F4" w:rsidP="00D309C4">
      <w:pPr>
        <w:rPr>
          <w:b/>
          <w:bCs/>
        </w:rPr>
      </w:pPr>
    </w:p>
    <w:p w14:paraId="1EE83669" w14:textId="77777777" w:rsidR="006809F4" w:rsidRDefault="006809F4" w:rsidP="00D309C4">
      <w:pPr>
        <w:rPr>
          <w:b/>
          <w:bCs/>
        </w:rPr>
      </w:pPr>
    </w:p>
    <w:p w14:paraId="2DC1204D" w14:textId="77777777" w:rsidR="006809F4" w:rsidRDefault="006809F4" w:rsidP="00D309C4">
      <w:pPr>
        <w:rPr>
          <w:b/>
          <w:bCs/>
        </w:rPr>
      </w:pPr>
    </w:p>
    <w:p w14:paraId="72BFB6F3" w14:textId="77777777" w:rsidR="006809F4" w:rsidRDefault="006809F4" w:rsidP="00D309C4">
      <w:pPr>
        <w:rPr>
          <w:b/>
          <w:bCs/>
        </w:rPr>
      </w:pPr>
    </w:p>
    <w:p w14:paraId="395A3A68" w14:textId="77777777" w:rsidR="006809F4" w:rsidRDefault="006809F4" w:rsidP="00D309C4">
      <w:pPr>
        <w:rPr>
          <w:b/>
          <w:bCs/>
        </w:rPr>
      </w:pPr>
    </w:p>
    <w:p w14:paraId="1515BF89" w14:textId="77777777" w:rsidR="006809F4" w:rsidRDefault="006809F4" w:rsidP="00D309C4">
      <w:pPr>
        <w:rPr>
          <w:b/>
          <w:bCs/>
        </w:rPr>
      </w:pPr>
    </w:p>
    <w:p w14:paraId="02E97E16" w14:textId="77777777" w:rsidR="006809F4" w:rsidRDefault="006809F4" w:rsidP="00D309C4">
      <w:pPr>
        <w:rPr>
          <w:b/>
          <w:bCs/>
        </w:rPr>
      </w:pPr>
    </w:p>
    <w:p w14:paraId="7ECBCB20" w14:textId="77777777" w:rsidR="006809F4" w:rsidRDefault="006809F4" w:rsidP="00D309C4">
      <w:pPr>
        <w:rPr>
          <w:b/>
          <w:bCs/>
        </w:rPr>
      </w:pPr>
    </w:p>
    <w:p w14:paraId="30A3D4A0" w14:textId="1C1333F3" w:rsidR="008258B6" w:rsidRPr="008258B6" w:rsidRDefault="008258B6" w:rsidP="008258B6">
      <w:pPr>
        <w:rPr>
          <w:b/>
          <w:bCs/>
        </w:rPr>
      </w:pPr>
      <w:r w:rsidRPr="008258B6">
        <w:rPr>
          <w:b/>
          <w:bCs/>
        </w:rPr>
        <w:lastRenderedPageBreak/>
        <w:t xml:space="preserve">OBRAZLOŽENJE </w:t>
      </w:r>
      <w:r w:rsidR="00BC5D3F">
        <w:rPr>
          <w:b/>
          <w:bCs/>
        </w:rPr>
        <w:t>POLU</w:t>
      </w:r>
      <w:r w:rsidRPr="008258B6">
        <w:rPr>
          <w:b/>
          <w:bCs/>
        </w:rPr>
        <w:t>GODIŠNJEG IZVJEŠTAJA O IZVRŠENJU FINANCIJSKOG PLANA ZA 202</w:t>
      </w:r>
      <w:r w:rsidR="00155243">
        <w:rPr>
          <w:b/>
          <w:bCs/>
        </w:rPr>
        <w:t>5</w:t>
      </w:r>
      <w:r w:rsidRPr="008258B6">
        <w:rPr>
          <w:b/>
          <w:bCs/>
        </w:rPr>
        <w:t>. GODINU</w:t>
      </w:r>
    </w:p>
    <w:p w14:paraId="1820CB9B" w14:textId="77777777" w:rsidR="008258B6" w:rsidRDefault="008258B6" w:rsidP="008258B6"/>
    <w:p w14:paraId="3D2FA5BE" w14:textId="77777777" w:rsidR="008258B6" w:rsidRDefault="008258B6" w:rsidP="008258B6">
      <w:r>
        <w:t>Izvještaj o izvršenju financijskog plana prati u kojim iznosima su se ostvarile planirane pozicije prihoda, primitaka, rashoda, izdataka, viškova i manjkova unutar promatranog razdoblja.</w:t>
      </w:r>
    </w:p>
    <w:p w14:paraId="67F638D9" w14:textId="77777777" w:rsidR="008258B6" w:rsidRDefault="008258B6" w:rsidP="008258B6">
      <w:r>
        <w:t>Sadržaj, podnošenje i donošenje izvještaja propisani su člankom 81.-87. Zakona o proračunu (NN, br. 144/21.).</w:t>
      </w:r>
    </w:p>
    <w:p w14:paraId="6BEFB9F7" w14:textId="77777777" w:rsidR="008258B6" w:rsidRDefault="008258B6" w:rsidP="008258B6"/>
    <w:p w14:paraId="66BE3077" w14:textId="77777777" w:rsidR="008258B6" w:rsidRPr="00AD78CA" w:rsidRDefault="008258B6" w:rsidP="008258B6">
      <w:pPr>
        <w:jc w:val="both"/>
      </w:pPr>
      <w:r w:rsidRPr="00AD78CA">
        <w:t>U polugodišnjem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14:paraId="29562943" w14:textId="771E0967" w:rsidR="008258B6" w:rsidRPr="00AD78CA" w:rsidRDefault="00661185" w:rsidP="008258B6">
      <w:pPr>
        <w:jc w:val="both"/>
      </w:pPr>
      <w:r>
        <w:t>Polug</w:t>
      </w:r>
      <w:r w:rsidR="008258B6" w:rsidRPr="00AD78CA">
        <w:t>odišnji izvještaj o izvršenju Financijskog plana za 202</w:t>
      </w:r>
      <w:r w:rsidR="00155243">
        <w:t>5</w:t>
      </w:r>
      <w:r w:rsidR="008258B6" w:rsidRPr="00AD78CA">
        <w:t>. sadrži prikaz svih prihoda i primitaka i rashoda i izdataka u razdoblju za koje se sastavlja, a prikazuje se kroz:</w:t>
      </w:r>
    </w:p>
    <w:p w14:paraId="6979B59F" w14:textId="77777777" w:rsidR="008258B6" w:rsidRPr="00AD78CA" w:rsidRDefault="008258B6" w:rsidP="008258B6">
      <w:pPr>
        <w:numPr>
          <w:ilvl w:val="0"/>
          <w:numId w:val="7"/>
        </w:numPr>
        <w:jc w:val="both"/>
      </w:pPr>
      <w:r w:rsidRPr="00AD78CA">
        <w:t>Opći dio (sažetka računa prihoda i rashoda, račun financiranja, preneseni višak)</w:t>
      </w:r>
    </w:p>
    <w:p w14:paraId="7D397D22" w14:textId="77777777" w:rsidR="008258B6" w:rsidRPr="00AD78CA" w:rsidRDefault="008258B6" w:rsidP="008258B6">
      <w:pPr>
        <w:numPr>
          <w:ilvl w:val="0"/>
          <w:numId w:val="7"/>
        </w:numPr>
        <w:jc w:val="both"/>
      </w:pPr>
      <w:r w:rsidRPr="00AD78CA">
        <w:t>Posebni dio (izvršenje rashoda i izdataka proračunskih korisnika) i</w:t>
      </w:r>
    </w:p>
    <w:p w14:paraId="21828288" w14:textId="77777777" w:rsidR="008258B6" w:rsidRPr="00AD78CA" w:rsidRDefault="008258B6" w:rsidP="008258B6">
      <w:pPr>
        <w:numPr>
          <w:ilvl w:val="0"/>
          <w:numId w:val="7"/>
        </w:numPr>
        <w:jc w:val="both"/>
      </w:pPr>
      <w:r w:rsidRPr="00AD78CA">
        <w:t xml:space="preserve">Obrazloženje (obrazloženje općeg dijela i posebnog dijela financijskog plana) </w:t>
      </w:r>
    </w:p>
    <w:p w14:paraId="26D65494" w14:textId="77777777" w:rsidR="008258B6" w:rsidRPr="00AD78CA" w:rsidRDefault="008258B6" w:rsidP="008258B6">
      <w:pPr>
        <w:numPr>
          <w:ilvl w:val="0"/>
          <w:numId w:val="7"/>
        </w:numPr>
        <w:jc w:val="both"/>
      </w:pPr>
      <w:r w:rsidRPr="00AD78CA">
        <w:t>Posebne izvještaje</w:t>
      </w:r>
    </w:p>
    <w:p w14:paraId="07777BF3" w14:textId="77777777" w:rsidR="008258B6" w:rsidRDefault="008258B6" w:rsidP="008258B6"/>
    <w:p w14:paraId="473654B5" w14:textId="77777777" w:rsidR="008258B6" w:rsidRDefault="008258B6" w:rsidP="00D309C4">
      <w:pPr>
        <w:rPr>
          <w:b/>
          <w:bCs/>
        </w:rPr>
      </w:pPr>
    </w:p>
    <w:p w14:paraId="18AFC8E0" w14:textId="77777777" w:rsidR="008258B6" w:rsidRDefault="008258B6" w:rsidP="00D309C4">
      <w:pPr>
        <w:rPr>
          <w:b/>
          <w:bCs/>
        </w:rPr>
      </w:pPr>
    </w:p>
    <w:p w14:paraId="3E49849F" w14:textId="77777777" w:rsidR="008258B6" w:rsidRDefault="008258B6" w:rsidP="00D309C4">
      <w:pPr>
        <w:rPr>
          <w:b/>
          <w:bCs/>
        </w:rPr>
      </w:pPr>
    </w:p>
    <w:p w14:paraId="7EBF9CB2" w14:textId="77777777" w:rsidR="008258B6" w:rsidRDefault="008258B6" w:rsidP="008258B6">
      <w:pPr>
        <w:rPr>
          <w:b/>
          <w:bCs/>
        </w:rPr>
      </w:pPr>
    </w:p>
    <w:p w14:paraId="3C49BC8C" w14:textId="77777777" w:rsidR="008258B6" w:rsidRDefault="008258B6" w:rsidP="008258B6">
      <w:pPr>
        <w:rPr>
          <w:b/>
          <w:bCs/>
        </w:rPr>
      </w:pPr>
    </w:p>
    <w:p w14:paraId="5E682569" w14:textId="77777777" w:rsidR="008258B6" w:rsidRDefault="008258B6" w:rsidP="008258B6">
      <w:pPr>
        <w:rPr>
          <w:b/>
          <w:bCs/>
        </w:rPr>
      </w:pPr>
    </w:p>
    <w:p w14:paraId="5058A843" w14:textId="77777777" w:rsidR="008258B6" w:rsidRDefault="008258B6" w:rsidP="008258B6">
      <w:pPr>
        <w:rPr>
          <w:b/>
          <w:bCs/>
        </w:rPr>
      </w:pPr>
    </w:p>
    <w:p w14:paraId="3AE6069D" w14:textId="77777777" w:rsidR="008258B6" w:rsidRDefault="008258B6" w:rsidP="008258B6">
      <w:pPr>
        <w:rPr>
          <w:b/>
          <w:bCs/>
        </w:rPr>
      </w:pPr>
    </w:p>
    <w:p w14:paraId="6F351FE1" w14:textId="781D5D57" w:rsidR="008258B6" w:rsidRPr="00D309C4" w:rsidRDefault="008258B6" w:rsidP="008258B6">
      <w:pPr>
        <w:rPr>
          <w:b/>
          <w:bCs/>
          <w:color w:val="000000"/>
        </w:rPr>
      </w:pPr>
      <w:r w:rsidRPr="00D309C4">
        <w:rPr>
          <w:b/>
          <w:bCs/>
        </w:rPr>
        <w:t xml:space="preserve">OBRAZLOŽENJE OPĆEG DIJELA </w:t>
      </w:r>
      <w:r w:rsidR="003878F3">
        <w:rPr>
          <w:b/>
          <w:bCs/>
        </w:rPr>
        <w:t>POLU</w:t>
      </w:r>
      <w:r w:rsidRPr="00D309C4">
        <w:rPr>
          <w:b/>
          <w:bCs/>
          <w:color w:val="000000"/>
        </w:rPr>
        <w:t>GODIŠNJEG IZVJEŠTAJA O IZVRŠENJU FINANCIJSKOG PLANA</w:t>
      </w:r>
    </w:p>
    <w:p w14:paraId="6414E24A" w14:textId="77777777" w:rsidR="008258B6" w:rsidRDefault="008258B6" w:rsidP="008258B6"/>
    <w:p w14:paraId="103A0BED" w14:textId="77777777" w:rsidR="008258B6" w:rsidRDefault="008258B6" w:rsidP="008258B6"/>
    <w:p w14:paraId="0319147D" w14:textId="4FE5F157" w:rsidR="0021528C" w:rsidRPr="0021528C" w:rsidRDefault="0021528C" w:rsidP="0021528C">
      <w:pPr>
        <w:spacing w:line="276" w:lineRule="auto"/>
        <w:rPr>
          <w:color w:val="000000"/>
        </w:rPr>
      </w:pPr>
      <w:r w:rsidRPr="0021528C">
        <w:t xml:space="preserve">Obrazloženje </w:t>
      </w:r>
      <w:r w:rsidR="003878F3">
        <w:t>polu</w:t>
      </w:r>
      <w:r w:rsidRPr="0021528C">
        <w:t xml:space="preserve">godišnjeg izvještaja o izvršenju financijskog plana </w:t>
      </w:r>
      <w:r>
        <w:t>Graditeljsko-geodetske škole Osijek</w:t>
      </w:r>
      <w:r w:rsidRPr="0021528C">
        <w:t xml:space="preserve"> za 202</w:t>
      </w:r>
      <w:r w:rsidR="00155243">
        <w:t>5</w:t>
      </w:r>
      <w:r w:rsidRPr="0021528C">
        <w:t>. godinu izrađen je u skladu s odredbama Zakona o proračunu (Narodne novine broj 144/21),</w:t>
      </w:r>
      <w:r w:rsidRPr="0021528C">
        <w:rPr>
          <w:color w:val="000000"/>
        </w:rPr>
        <w:t xml:space="preserve"> Pravilnika o proračunskim klasifikacijama (Narodne novine broj 26/10, 120/13 i 01/20), Pravilnika o proračunskom računovodstvu i Računskom planu (Narodne novine broj 124/14, 115/15, 87/16, 3/18, 126/19 i 108/20), Zakonu o uvođenju eura kao službene valute u Republici Hrvatskoj (Narodne novine  broj 57/2022) te Podacima za izradu </w:t>
      </w:r>
      <w:r w:rsidR="003878F3">
        <w:rPr>
          <w:color w:val="000000"/>
        </w:rPr>
        <w:t>Polug</w:t>
      </w:r>
      <w:r w:rsidRPr="0021528C">
        <w:rPr>
          <w:color w:val="000000"/>
        </w:rPr>
        <w:t>odišnjeg izvještaja o izvršenju proračuna Osječko-baranjske županije za 202</w:t>
      </w:r>
      <w:r w:rsidR="00155243">
        <w:rPr>
          <w:color w:val="000000"/>
        </w:rPr>
        <w:t>5</w:t>
      </w:r>
      <w:r w:rsidRPr="0021528C">
        <w:rPr>
          <w:color w:val="000000"/>
        </w:rPr>
        <w:t>. godinu (</w:t>
      </w:r>
      <w:r w:rsidRPr="0021528C">
        <w:rPr>
          <w:iCs/>
          <w:color w:val="000000"/>
        </w:rPr>
        <w:t>KLASA:</w:t>
      </w:r>
      <w:r w:rsidRPr="0021528C">
        <w:rPr>
          <w:iCs/>
        </w:rPr>
        <w:t xml:space="preserve"> 602-0</w:t>
      </w:r>
      <w:r>
        <w:rPr>
          <w:iCs/>
        </w:rPr>
        <w:t>3</w:t>
      </w:r>
      <w:r w:rsidRPr="0021528C">
        <w:rPr>
          <w:iCs/>
          <w:color w:val="000000"/>
        </w:rPr>
        <w:t>/2</w:t>
      </w:r>
      <w:r w:rsidR="00155243">
        <w:rPr>
          <w:iCs/>
          <w:color w:val="000000"/>
        </w:rPr>
        <w:t>5</w:t>
      </w:r>
      <w:r w:rsidRPr="0021528C">
        <w:rPr>
          <w:iCs/>
          <w:color w:val="000000"/>
        </w:rPr>
        <w:t>-0</w:t>
      </w:r>
      <w:r w:rsidR="003878F3">
        <w:rPr>
          <w:iCs/>
          <w:color w:val="000000"/>
        </w:rPr>
        <w:t>2</w:t>
      </w:r>
      <w:r w:rsidRPr="0021528C">
        <w:rPr>
          <w:iCs/>
          <w:color w:val="000000"/>
        </w:rPr>
        <w:t>/</w:t>
      </w:r>
      <w:r w:rsidR="003878F3">
        <w:rPr>
          <w:iCs/>
          <w:color w:val="000000"/>
        </w:rPr>
        <w:t>6</w:t>
      </w:r>
      <w:r w:rsidRPr="0021528C">
        <w:rPr>
          <w:iCs/>
          <w:color w:val="000000"/>
        </w:rPr>
        <w:t>, URBOJ: 2158-17</w:t>
      </w:r>
      <w:r w:rsidR="00155243">
        <w:rPr>
          <w:iCs/>
          <w:color w:val="000000"/>
        </w:rPr>
        <w:t>/10-25</w:t>
      </w:r>
      <w:r>
        <w:rPr>
          <w:iCs/>
          <w:color w:val="000000"/>
        </w:rPr>
        <w:t>-1</w:t>
      </w:r>
      <w:r w:rsidRPr="0021528C">
        <w:rPr>
          <w:color w:val="000000"/>
        </w:rPr>
        <w:t>.</w:t>
      </w:r>
      <w:r w:rsidR="008165C4">
        <w:rPr>
          <w:color w:val="000000"/>
        </w:rPr>
        <w:t>)</w:t>
      </w:r>
    </w:p>
    <w:p w14:paraId="7433B8A7" w14:textId="77777777" w:rsidR="0021528C" w:rsidRDefault="0021528C" w:rsidP="0021528C">
      <w:pPr>
        <w:rPr>
          <w:rFonts w:ascii="Calibri" w:hAnsi="Calibri" w:cs="Calibri"/>
          <w:sz w:val="22"/>
          <w:szCs w:val="22"/>
        </w:rPr>
      </w:pPr>
    </w:p>
    <w:p w14:paraId="1C2ED84F" w14:textId="77777777" w:rsidR="0021528C" w:rsidRDefault="0021528C" w:rsidP="008258B6"/>
    <w:p w14:paraId="7A2E76AD" w14:textId="77777777" w:rsidR="0021528C" w:rsidRDefault="0021528C" w:rsidP="008258B6"/>
    <w:p w14:paraId="0130CF22" w14:textId="77777777" w:rsidR="0021528C" w:rsidRDefault="0021528C" w:rsidP="008258B6"/>
    <w:p w14:paraId="7B589A4D" w14:textId="77777777" w:rsidR="0021528C" w:rsidRDefault="0021528C" w:rsidP="008258B6"/>
    <w:p w14:paraId="3F15E399" w14:textId="77777777" w:rsidR="0021528C" w:rsidRDefault="0021528C" w:rsidP="008258B6"/>
    <w:p w14:paraId="50FA0E9C" w14:textId="77777777" w:rsidR="0021528C" w:rsidRDefault="0021528C" w:rsidP="008258B6"/>
    <w:p w14:paraId="7A5FA575" w14:textId="77777777" w:rsidR="0021528C" w:rsidRDefault="0021528C" w:rsidP="008258B6"/>
    <w:p w14:paraId="4947D2B6" w14:textId="77777777" w:rsidR="0021528C" w:rsidRDefault="0021528C" w:rsidP="008258B6"/>
    <w:p w14:paraId="2BE940E0" w14:textId="77777777" w:rsidR="0021528C" w:rsidRDefault="0021528C" w:rsidP="008258B6"/>
    <w:p w14:paraId="038296D0" w14:textId="5BB80F8C" w:rsidR="0021528C" w:rsidRPr="0021528C" w:rsidRDefault="0021528C" w:rsidP="0021528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1528C">
        <w:rPr>
          <w:rFonts w:ascii="Times New Roman" w:hAnsi="Times New Roman"/>
          <w:b/>
          <w:sz w:val="24"/>
          <w:szCs w:val="24"/>
        </w:rPr>
        <w:t xml:space="preserve">OBRAZLOŽENJE OSTVARENJA PRIHODA I PRIMITAKA, RASHODA I IZDATAKA ZA RAZDOBLJE  1.1. DO </w:t>
      </w:r>
      <w:r>
        <w:rPr>
          <w:rFonts w:ascii="Times New Roman" w:hAnsi="Times New Roman"/>
          <w:b/>
          <w:sz w:val="24"/>
          <w:szCs w:val="24"/>
        </w:rPr>
        <w:t>3</w:t>
      </w:r>
      <w:r w:rsidR="003878F3">
        <w:rPr>
          <w:rFonts w:ascii="Times New Roman" w:hAnsi="Times New Roman"/>
          <w:b/>
          <w:sz w:val="24"/>
          <w:szCs w:val="24"/>
        </w:rPr>
        <w:t>0</w:t>
      </w:r>
      <w:r w:rsidRPr="0021528C">
        <w:rPr>
          <w:rFonts w:ascii="Times New Roman" w:hAnsi="Times New Roman"/>
          <w:b/>
          <w:sz w:val="24"/>
          <w:szCs w:val="24"/>
        </w:rPr>
        <w:t>.</w:t>
      </w:r>
      <w:r w:rsidR="003878F3">
        <w:rPr>
          <w:rFonts w:ascii="Times New Roman" w:hAnsi="Times New Roman"/>
          <w:b/>
          <w:sz w:val="24"/>
          <w:szCs w:val="24"/>
        </w:rPr>
        <w:t>06</w:t>
      </w:r>
      <w:r w:rsidRPr="0021528C">
        <w:rPr>
          <w:rFonts w:ascii="Times New Roman" w:hAnsi="Times New Roman"/>
          <w:b/>
          <w:sz w:val="24"/>
          <w:szCs w:val="24"/>
        </w:rPr>
        <w:t>.202</w:t>
      </w:r>
      <w:r w:rsidR="00155243">
        <w:rPr>
          <w:rFonts w:ascii="Times New Roman" w:hAnsi="Times New Roman"/>
          <w:b/>
          <w:sz w:val="24"/>
          <w:szCs w:val="24"/>
        </w:rPr>
        <w:t>5</w:t>
      </w:r>
      <w:r w:rsidRPr="0021528C">
        <w:rPr>
          <w:rFonts w:ascii="Times New Roman" w:hAnsi="Times New Roman"/>
          <w:sz w:val="24"/>
          <w:szCs w:val="24"/>
        </w:rPr>
        <w:t>.</w:t>
      </w:r>
    </w:p>
    <w:p w14:paraId="497FB975" w14:textId="77777777" w:rsidR="0021528C" w:rsidRDefault="0021528C" w:rsidP="008258B6"/>
    <w:p w14:paraId="1DE82AD0" w14:textId="5D85BD53" w:rsidR="008258B6" w:rsidRDefault="008258B6" w:rsidP="008258B6">
      <w:r>
        <w:t xml:space="preserve">Graditeljsko - geodetska škola Osijek u razdoblju od 1. siječnja do 31. </w:t>
      </w:r>
      <w:r w:rsidR="003878F3">
        <w:t>lipnja</w:t>
      </w:r>
      <w:r>
        <w:t xml:space="preserve"> 202</w:t>
      </w:r>
      <w:r w:rsidR="00155243">
        <w:t>5</w:t>
      </w:r>
      <w:r>
        <w:t xml:space="preserve">. godine ostvarila je ukupne prihode u iznosu od </w:t>
      </w:r>
      <w:r w:rsidR="00155243">
        <w:t>1.183.676,39</w:t>
      </w:r>
      <w:r>
        <w:t xml:space="preserve"> €, rashode u iznosu od </w:t>
      </w:r>
      <w:r w:rsidR="00155243">
        <w:t>1.310.024,95</w:t>
      </w:r>
      <w:r>
        <w:t xml:space="preserve"> </w:t>
      </w:r>
      <w:r w:rsidR="00FE4E23">
        <w:t xml:space="preserve">€. </w:t>
      </w:r>
      <w:r>
        <w:t xml:space="preserve">Ukupni prihodi realizirani su na razini </w:t>
      </w:r>
      <w:r w:rsidR="00155243">
        <w:t>68</w:t>
      </w:r>
      <w:r>
        <w:t>,</w:t>
      </w:r>
      <w:r w:rsidR="00155243">
        <w:t>26</w:t>
      </w:r>
      <w:r>
        <w:t xml:space="preserve"> % u odnosu na izvorni plan za proračunsku godinu. Ukupni rashodi realizirani su na razini </w:t>
      </w:r>
      <w:r w:rsidR="00155243">
        <w:t>74,60</w:t>
      </w:r>
      <w:r>
        <w:t xml:space="preserve"> % u odnosu na izvorni plan za proračunsku godinu.</w:t>
      </w:r>
    </w:p>
    <w:p w14:paraId="0704C63A" w14:textId="4DE77DAE" w:rsidR="008258B6" w:rsidRDefault="0021528C" w:rsidP="00D309C4">
      <w:pPr>
        <w:rPr>
          <w:b/>
          <w:bCs/>
        </w:rPr>
      </w:pPr>
      <w:r w:rsidRPr="0021528C">
        <w:rPr>
          <w:rStyle w:val="Neupadljivoisticanje"/>
          <w:i w:val="0"/>
          <w:iCs w:val="0"/>
          <w:color w:val="auto"/>
        </w:rPr>
        <w:t xml:space="preserve"> </w:t>
      </w:r>
    </w:p>
    <w:p w14:paraId="61451B2F" w14:textId="77777777" w:rsidR="008258B6" w:rsidRDefault="008258B6" w:rsidP="00D309C4">
      <w:pPr>
        <w:rPr>
          <w:b/>
          <w:bCs/>
        </w:rPr>
      </w:pPr>
    </w:p>
    <w:p w14:paraId="53F42A58" w14:textId="79B3454D" w:rsidR="00B109F7" w:rsidRPr="003219C0" w:rsidRDefault="00B109F7" w:rsidP="00B109F7">
      <w:pPr>
        <w:spacing w:line="276" w:lineRule="auto"/>
        <w:rPr>
          <w:lang w:eastAsia="en-US"/>
        </w:rPr>
      </w:pPr>
      <w:r w:rsidRPr="003219C0">
        <w:t>Iznos nenaplaćenih potraživanja za vlastite prihode na dan 3</w:t>
      </w:r>
      <w:r w:rsidR="00FE4E23">
        <w:t>0</w:t>
      </w:r>
      <w:r w:rsidRPr="003219C0">
        <w:t>.</w:t>
      </w:r>
      <w:r w:rsidR="00FE4E23">
        <w:t>06</w:t>
      </w:r>
      <w:r w:rsidRPr="003219C0">
        <w:t>.202</w:t>
      </w:r>
      <w:r w:rsidR="00155243">
        <w:t>5</w:t>
      </w:r>
      <w:r w:rsidRPr="003219C0">
        <w:t xml:space="preserve">. godine iznosi </w:t>
      </w:r>
      <w:r w:rsidR="00211876" w:rsidRPr="00211876">
        <w:t>7.546</w:t>
      </w:r>
      <w:r w:rsidRPr="00211876">
        <w:t>,</w:t>
      </w:r>
      <w:r w:rsidR="00211876" w:rsidRPr="00211876">
        <w:t>22</w:t>
      </w:r>
      <w:r w:rsidR="00FE4E23" w:rsidRPr="00211876">
        <w:t xml:space="preserve"> </w:t>
      </w:r>
      <w:r w:rsidR="00FE4E23">
        <w:t xml:space="preserve">€ </w:t>
      </w:r>
      <w:r w:rsidRPr="003219C0">
        <w:t xml:space="preserve">, a odnosi se na potraživanja za prihode od pruženih usluga. Za sva potraživanja se pravovremeno poduzimaju mjere naplate. </w:t>
      </w:r>
    </w:p>
    <w:p w14:paraId="6E3A7700" w14:textId="77777777" w:rsidR="00B109F7" w:rsidRDefault="00B109F7" w:rsidP="00D309C4">
      <w:pPr>
        <w:rPr>
          <w:b/>
          <w:bCs/>
        </w:rPr>
      </w:pPr>
    </w:p>
    <w:p w14:paraId="7A8959C5" w14:textId="7B54CDF4" w:rsid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Stanje obveza na 3</w:t>
      </w:r>
      <w:r w:rsidR="00FE4E2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0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="00FE4E2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06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.202</w:t>
      </w:r>
      <w:r w:rsidR="0015524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5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. iznosi </w:t>
      </w:r>
      <w:r w:rsidR="00211876" w:rsidRPr="00211876">
        <w:rPr>
          <w:rFonts w:ascii="Times New Roman" w:eastAsiaTheme="minorHAnsi" w:hAnsi="Times New Roman"/>
          <w:sz w:val="24"/>
          <w:szCs w:val="24"/>
        </w:rPr>
        <w:t>163.974,96</w:t>
      </w:r>
      <w:r w:rsidR="0021187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€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Pr="00B109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109F7">
        <w:rPr>
          <w:rFonts w:ascii="Times New Roman" w:hAnsi="Times New Roman"/>
          <w:iCs/>
          <w:sz w:val="24"/>
          <w:szCs w:val="24"/>
        </w:rPr>
        <w:t>Od toga</w:t>
      </w:r>
      <w:r w:rsidRPr="00B109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nepodmirene dospjele obveze iznose 0,00 </w:t>
      </w:r>
      <w:r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€.</w:t>
      </w:r>
    </w:p>
    <w:p w14:paraId="2473F5EE" w14:textId="77777777" w:rsid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39723259" w14:textId="189000A1" w:rsid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Stanje novčanih sredstava </w:t>
      </w:r>
      <w:r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Graditeljsko-geodetske škole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Osijek na žiro-računu Osječko – baranjske županije na dan 3</w:t>
      </w:r>
      <w:r w:rsidR="00FE4E2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0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  <w:r w:rsidR="00FE4E2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06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.202</w:t>
      </w:r>
      <w:r w:rsidR="0015524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5</w:t>
      </w:r>
      <w:r w:rsidRPr="00B109F7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. godine iznosi  </w:t>
      </w:r>
      <w:r w:rsidR="0015524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70.902,36</w:t>
      </w:r>
      <w:r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€.</w:t>
      </w:r>
    </w:p>
    <w:p w14:paraId="2D391EC3" w14:textId="77777777" w:rsid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0E0903C4" w14:textId="77777777" w:rsidR="00B109F7" w:rsidRP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1D81BC70" w14:textId="734C8E32" w:rsidR="00B109F7" w:rsidRP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OBRAZLOŽENJE ODSTUPANJA (01.01.202</w:t>
      </w:r>
      <w:r w:rsidR="0015524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4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. – </w:t>
      </w:r>
      <w:r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3</w:t>
      </w:r>
      <w:r w:rsidR="00FE4E2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0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.</w:t>
      </w:r>
      <w:r w:rsidR="00FE4E2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06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.202</w:t>
      </w:r>
      <w:r w:rsidR="0015524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4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. i 01.01.202</w:t>
      </w:r>
      <w:r w:rsidR="0015524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5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 xml:space="preserve">. – </w:t>
      </w:r>
      <w:r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3</w:t>
      </w:r>
      <w:r w:rsidR="00FE4E2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0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.</w:t>
      </w:r>
      <w:r w:rsidR="00FE4E2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06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.202</w:t>
      </w:r>
      <w:r w:rsidR="00155243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5</w:t>
      </w:r>
      <w:r w:rsidRPr="00B109F7">
        <w:rPr>
          <w:rStyle w:val="Neupadljivoisticanje"/>
          <w:rFonts w:ascii="Times New Roman" w:hAnsi="Times New Roman"/>
          <w:b/>
          <w:i w:val="0"/>
          <w:iCs w:val="0"/>
          <w:color w:val="auto"/>
          <w:sz w:val="24"/>
          <w:szCs w:val="24"/>
        </w:rPr>
        <w:t>.)</w:t>
      </w:r>
    </w:p>
    <w:p w14:paraId="23DE2D6F" w14:textId="77777777" w:rsidR="00B109F7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44442749" w14:textId="42E3F594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Na računu 63 Pomoći iz inozemstva i od subjekata unutar općeg proračuna u 202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5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. godini iskazan je realizirani iznos pomoći u iznosu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1.021.005,31</w:t>
      </w:r>
      <w:r w:rsidR="008C1C32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€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odnosno realizirane su na razini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67,58</w:t>
      </w:r>
      <w:r w:rsidR="008165C4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="008C1C32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% u odnosu na plan. Unutar ove grupe prihoda evidentirane su promjene na sljedećim računima:</w:t>
      </w:r>
    </w:p>
    <w:p w14:paraId="05A3EF12" w14:textId="7777777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7D1726F4" w14:textId="0521E11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6361 – Tekuće pomoći proračunskim korisnicima iz proračuna koji im nije nadležan – povećanje prihoda za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17,29</w:t>
      </w:r>
      <w:r w:rsidR="00C52DFB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% radi povećanja </w:t>
      </w:r>
      <w:r w:rsidR="00C52DFB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koeficijenta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za izračun plaća u državnom i javnom sektoru </w:t>
      </w:r>
    </w:p>
    <w:p w14:paraId="7C3E5F4A" w14:textId="7777777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7FA07D71" w14:textId="207F3396" w:rsidR="00537BAC" w:rsidRDefault="005D0933" w:rsidP="00537BA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D0933">
        <w:rPr>
          <w:rStyle w:val="Neupadljivoisticanje"/>
          <w:i w:val="0"/>
          <w:iCs w:val="0"/>
          <w:color w:val="auto"/>
        </w:rPr>
        <w:t xml:space="preserve">6381 – Tekuće pomoći temeljem prijenosa EU sredstava –Školi je u </w:t>
      </w:r>
      <w:r w:rsidR="0048618E">
        <w:rPr>
          <w:rStyle w:val="Neupadljivoisticanje"/>
          <w:i w:val="0"/>
          <w:iCs w:val="0"/>
          <w:color w:val="auto"/>
        </w:rPr>
        <w:t>lipnju 2025</w:t>
      </w:r>
      <w:r w:rsidRPr="005D0933">
        <w:rPr>
          <w:rStyle w:val="Neupadljivoisticanje"/>
          <w:i w:val="0"/>
          <w:iCs w:val="0"/>
          <w:color w:val="auto"/>
        </w:rPr>
        <w:t>.</w:t>
      </w:r>
      <w:r w:rsidR="0048618E">
        <w:rPr>
          <w:rStyle w:val="Neupadljivoisticanje"/>
          <w:i w:val="0"/>
          <w:iCs w:val="0"/>
          <w:color w:val="auto"/>
        </w:rPr>
        <w:t xml:space="preserve"> na račun sjela 1. </w:t>
      </w:r>
      <w:r w:rsidR="008C1C32">
        <w:rPr>
          <w:rStyle w:val="Neupadljivoisticanje"/>
          <w:i w:val="0"/>
          <w:iCs w:val="0"/>
          <w:color w:val="auto"/>
        </w:rPr>
        <w:t xml:space="preserve">uplata za projekt </w:t>
      </w:r>
      <w:r w:rsidR="0048618E" w:rsidRPr="0048618E">
        <w:rPr>
          <w:color w:val="000000"/>
          <w:shd w:val="clear" w:color="auto" w:fill="FFFFFF"/>
        </w:rPr>
        <w:t>2025-1-HR01-KA121-VET-000338531</w:t>
      </w:r>
      <w:r w:rsidR="0048618E"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r w:rsidR="008C1C32">
        <w:rPr>
          <w:rStyle w:val="Neupadljivoisticanje"/>
          <w:i w:val="0"/>
          <w:iCs w:val="0"/>
          <w:color w:val="auto"/>
        </w:rPr>
        <w:t xml:space="preserve">u iznosu od </w:t>
      </w:r>
      <w:r w:rsidR="0048618E">
        <w:rPr>
          <w:rStyle w:val="Neupadljivoisticanje"/>
          <w:i w:val="0"/>
          <w:iCs w:val="0"/>
          <w:color w:val="auto"/>
        </w:rPr>
        <w:t>34.012</w:t>
      </w:r>
      <w:r w:rsidR="008C1C32">
        <w:rPr>
          <w:rStyle w:val="Neupadljivoisticanje"/>
          <w:i w:val="0"/>
          <w:iCs w:val="0"/>
          <w:color w:val="auto"/>
        </w:rPr>
        <w:t xml:space="preserve"> €. </w:t>
      </w:r>
      <w:r w:rsidR="00C52DFB">
        <w:rPr>
          <w:color w:val="000000"/>
        </w:rPr>
        <w:t>dok 2024. do 30.06.2024. nije bilo uplate za ERASMUS+ projekte.</w:t>
      </w:r>
    </w:p>
    <w:p w14:paraId="20398B89" w14:textId="20D33EC6" w:rsidR="00537BAC" w:rsidRDefault="00537BAC" w:rsidP="00537BA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77C89A" w14:textId="77777777" w:rsidR="00537BAC" w:rsidRDefault="00537BAC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60C43F39" w14:textId="23DC90AC" w:rsidR="005D0933" w:rsidRPr="001F7CED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Račun 66 Prihodi od prodaje proizvoda i robe te pruženih usluga i prihodi od donacija realizirani su u iznosu </w:t>
      </w:r>
      <w:r w:rsidR="0048618E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6.837,41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537BAC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€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odnosno plan je izvršen </w:t>
      </w:r>
      <w:r w:rsidR="0048618E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41,19</w:t>
      </w:r>
      <w:r w:rsidR="00C52DFB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%. </w:t>
      </w:r>
      <w:r w:rsidR="001F7CED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N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a račun</w:t>
      </w:r>
      <w:r w:rsidR="001F7CED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u 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6631 – Tekuće donacije </w:t>
      </w:r>
      <w:r w:rsidR="001F7CED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iskazano je </w:t>
      </w:r>
      <w:r w:rsidR="0048618E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smanjenje jer nije bilo donacija od pravnih osoba izvan općeg proračuna za ekskurzije učenika do 30.6.2025. kao ni do 30.6.2024. godine.</w:t>
      </w:r>
      <w:r w:rsidR="001F7CED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</w:t>
      </w:r>
    </w:p>
    <w:p w14:paraId="64102C7F" w14:textId="77777777" w:rsidR="001F7CED" w:rsidRDefault="001F7CED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07DCC02B" w14:textId="77777777" w:rsidR="001F7CED" w:rsidRDefault="001F7CED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202B0B2D" w14:textId="77777777" w:rsidR="0048618E" w:rsidRDefault="0048618E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122C5D7B" w14:textId="77777777" w:rsidR="0048618E" w:rsidRDefault="0048618E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63BA5D33" w14:textId="53F57DDC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lastRenderedPageBreak/>
        <w:t xml:space="preserve">Na računu 67 Prihodi iz nadležnog proračuna i od HZZO-a na temelju ugovorenih obveza obuhvaćaju prihode od strane osnivača Osječko-baranjske županije. Iznosom od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96.857,49</w:t>
      </w:r>
      <w:r w:rsidR="00C52DFB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="001F7CED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€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financirani su rashodi za potrebe redovnog poslovanja škole</w:t>
      </w:r>
      <w:r w:rsidR="001F7CED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što je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povećanje</w:t>
      </w:r>
      <w:r w:rsidR="001F7CED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od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6,24</w:t>
      </w:r>
      <w:r w:rsidR="001F7CED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% u odnosu na prošlu godinu.</w:t>
      </w:r>
    </w:p>
    <w:p w14:paraId="7F965227" w14:textId="7777777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12408C16" w14:textId="70118384" w:rsid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31 Rashodi za zaposlene realizirani su u iznosu od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1.144.302,24</w:t>
      </w:r>
      <w:r w:rsidR="001F7CED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€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što je na razini 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76,66</w:t>
      </w:r>
      <w:r w:rsidR="00D8672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%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u odnosu na plan proračuna. Račun 31 obuhvaća troškove plaća za redovan rad zaposlenika Šk</w:t>
      </w:r>
      <w:r w:rsidR="0048618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ole, isplatu materijalnih prava.</w:t>
      </w:r>
    </w:p>
    <w:p w14:paraId="6AEF4A53" w14:textId="77777777" w:rsidR="0048618E" w:rsidRPr="005D0933" w:rsidRDefault="0048618E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514AED60" w14:textId="008BA433" w:rsidR="005D0933" w:rsidRDefault="005D0933" w:rsidP="005D0933">
      <w:pPr>
        <w:spacing w:line="276" w:lineRule="auto"/>
        <w:rPr>
          <w:rStyle w:val="Neupadljivoisticanje"/>
          <w:i w:val="0"/>
          <w:iCs w:val="0"/>
          <w:color w:val="auto"/>
        </w:rPr>
      </w:pPr>
      <w:r w:rsidRPr="005D0933">
        <w:rPr>
          <w:rStyle w:val="Neupadljivoisticanje"/>
          <w:i w:val="0"/>
          <w:iCs w:val="0"/>
          <w:color w:val="auto"/>
        </w:rPr>
        <w:t xml:space="preserve">Materijalni rashodi (račun 32) realizirani su u iznosu </w:t>
      </w:r>
      <w:r w:rsidR="00B21BF2">
        <w:rPr>
          <w:rStyle w:val="Neupadljivoisticanje"/>
          <w:i w:val="0"/>
          <w:iCs w:val="0"/>
          <w:color w:val="auto"/>
        </w:rPr>
        <w:t>151.744,95</w:t>
      </w:r>
      <w:r w:rsidR="00D8672E">
        <w:rPr>
          <w:rStyle w:val="Neupadljivoisticanje"/>
          <w:i w:val="0"/>
          <w:iCs w:val="0"/>
          <w:color w:val="auto"/>
        </w:rPr>
        <w:t xml:space="preserve"> €</w:t>
      </w:r>
      <w:r w:rsidRPr="005D0933">
        <w:rPr>
          <w:rStyle w:val="Neupadljivoisticanje"/>
          <w:i w:val="0"/>
          <w:iCs w:val="0"/>
          <w:color w:val="auto"/>
        </w:rPr>
        <w:t xml:space="preserve"> odnosno na razini </w:t>
      </w:r>
      <w:r w:rsidR="00B21BF2">
        <w:rPr>
          <w:rStyle w:val="Neupadljivoisticanje"/>
          <w:i w:val="0"/>
          <w:iCs w:val="0"/>
          <w:color w:val="auto"/>
        </w:rPr>
        <w:t>60,00</w:t>
      </w:r>
      <w:r w:rsidR="00392759">
        <w:rPr>
          <w:rStyle w:val="Neupadljivoisticanje"/>
          <w:i w:val="0"/>
          <w:iCs w:val="0"/>
          <w:color w:val="auto"/>
        </w:rPr>
        <w:t xml:space="preserve"> </w:t>
      </w:r>
      <w:r w:rsidRPr="005D0933">
        <w:rPr>
          <w:rStyle w:val="Neupadljivoisticanje"/>
          <w:i w:val="0"/>
          <w:iCs w:val="0"/>
          <w:color w:val="auto"/>
        </w:rPr>
        <w:t>% u odnosu na tekući plan proračunske godine. Unutar ove grupe rashoda evidentirane najveće povećanje u odnosu na prethodnu godinu odnosi se na račun 32</w:t>
      </w:r>
      <w:r w:rsidR="00E84F46">
        <w:rPr>
          <w:rStyle w:val="Neupadljivoisticanje"/>
          <w:i w:val="0"/>
          <w:iCs w:val="0"/>
          <w:color w:val="auto"/>
        </w:rPr>
        <w:t>4</w:t>
      </w:r>
      <w:r w:rsidRPr="005D0933">
        <w:rPr>
          <w:rStyle w:val="Neupadljivoisticanje"/>
          <w:i w:val="0"/>
          <w:iCs w:val="0"/>
          <w:color w:val="auto"/>
        </w:rPr>
        <w:t xml:space="preserve"> – Naknade troškova </w:t>
      </w:r>
      <w:r w:rsidR="00E84F46">
        <w:rPr>
          <w:rStyle w:val="Neupadljivoisticanje"/>
          <w:i w:val="0"/>
          <w:iCs w:val="0"/>
          <w:color w:val="auto"/>
        </w:rPr>
        <w:t>osoba izvan radnog odnosa</w:t>
      </w:r>
      <w:r w:rsidRPr="005D0933">
        <w:rPr>
          <w:rStyle w:val="Neupadljivoisticanje"/>
          <w:i w:val="0"/>
          <w:iCs w:val="0"/>
          <w:color w:val="auto"/>
        </w:rPr>
        <w:t xml:space="preserve"> – povećani troškovi u odnosu na 202</w:t>
      </w:r>
      <w:r w:rsidR="00B21BF2">
        <w:rPr>
          <w:rStyle w:val="Neupadljivoisticanje"/>
          <w:i w:val="0"/>
          <w:iCs w:val="0"/>
          <w:color w:val="auto"/>
        </w:rPr>
        <w:t>4</w:t>
      </w:r>
      <w:r w:rsidRPr="005D0933">
        <w:rPr>
          <w:rStyle w:val="Neupadljivoisticanje"/>
          <w:i w:val="0"/>
          <w:iCs w:val="0"/>
          <w:color w:val="auto"/>
        </w:rPr>
        <w:t xml:space="preserve">. godinu zbog sudjelovanja </w:t>
      </w:r>
      <w:r w:rsidR="00E84F46">
        <w:rPr>
          <w:rStyle w:val="Neupadljivoisticanje"/>
          <w:i w:val="0"/>
          <w:iCs w:val="0"/>
          <w:color w:val="auto"/>
        </w:rPr>
        <w:t xml:space="preserve">profesora i  učenika </w:t>
      </w:r>
      <w:r w:rsidR="00D8672E">
        <w:rPr>
          <w:rStyle w:val="Neupadljivoisticanje"/>
          <w:i w:val="0"/>
          <w:iCs w:val="0"/>
          <w:color w:val="auto"/>
        </w:rPr>
        <w:t xml:space="preserve"> u brojnim aktivacijama i mobilnostima </w:t>
      </w:r>
      <w:r w:rsidRPr="005D0933">
        <w:rPr>
          <w:rStyle w:val="Neupadljivoisticanje"/>
          <w:i w:val="0"/>
          <w:iCs w:val="0"/>
          <w:color w:val="auto"/>
        </w:rPr>
        <w:t xml:space="preserve">u sklopu odobrenog </w:t>
      </w:r>
      <w:r w:rsidR="00D8672E">
        <w:rPr>
          <w:rStyle w:val="Neupadljivoisticanje"/>
          <w:i w:val="0"/>
          <w:iCs w:val="0"/>
          <w:color w:val="auto"/>
        </w:rPr>
        <w:t>ERASMUS +</w:t>
      </w:r>
      <w:r w:rsidR="00E84F46">
        <w:rPr>
          <w:rStyle w:val="Neupadljivoisticanje"/>
          <w:i w:val="0"/>
          <w:iCs w:val="0"/>
          <w:color w:val="auto"/>
        </w:rPr>
        <w:t xml:space="preserve"> </w:t>
      </w:r>
      <w:r w:rsidRPr="005D0933">
        <w:rPr>
          <w:rStyle w:val="Neupadljivoisticanje"/>
          <w:i w:val="0"/>
          <w:iCs w:val="0"/>
          <w:color w:val="auto"/>
        </w:rPr>
        <w:t xml:space="preserve">projekta . </w:t>
      </w:r>
    </w:p>
    <w:p w14:paraId="0A46DC82" w14:textId="77777777" w:rsidR="00E84F46" w:rsidRPr="005D0933" w:rsidRDefault="00E84F46" w:rsidP="005D0933">
      <w:pPr>
        <w:spacing w:line="276" w:lineRule="auto"/>
        <w:rPr>
          <w:rStyle w:val="Neupadljivoisticanje"/>
          <w:i w:val="0"/>
          <w:iCs w:val="0"/>
          <w:color w:val="auto"/>
        </w:rPr>
      </w:pPr>
    </w:p>
    <w:p w14:paraId="42815D5B" w14:textId="7777777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00402569" w14:textId="4215F283" w:rsidR="005D0933" w:rsidRPr="00E84F46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32</w:t>
      </w:r>
      <w:r w:rsidR="00E84F46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38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 – </w:t>
      </w:r>
      <w:r w:rsidR="00D8672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Povećani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rashodi</w:t>
      </w:r>
      <w:r w:rsidR="00D8672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u odnosu na 20</w:t>
      </w:r>
      <w:r w:rsidR="00B21BF2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>24</w:t>
      </w:r>
      <w:r w:rsidRPr="005D0933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. godinu budući </w:t>
      </w:r>
      <w:r w:rsidR="00D8672E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 da </w:t>
      </w:r>
      <w:r w:rsidR="00E84F46"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  <w:t xml:space="preserve">su troškovi za Održavanje </w:t>
      </w:r>
      <w:r w:rsidR="00E84F46" w:rsidRPr="00E84F46">
        <w:rPr>
          <w:rFonts w:ascii="Times New Roman" w:hAnsi="Times New Roman"/>
          <w:sz w:val="24"/>
          <w:szCs w:val="24"/>
          <w:shd w:val="clear" w:color="auto" w:fill="FFFFFF"/>
        </w:rPr>
        <w:t>računalnog programa Proračunsko računovodstvo u okviru Riznice Osječko-baranjske županije potpisanog sa </w:t>
      </w:r>
      <w:r w:rsidR="00E84F46" w:rsidRPr="00E84F46">
        <w:rPr>
          <w:rStyle w:val="markvdarz8fli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Za</w:t>
      </w:r>
      <w:r w:rsidR="00E84F46" w:rsidRPr="00E84F46">
        <w:rPr>
          <w:rStyle w:val="markq6tjawyx1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vod</w:t>
      </w:r>
      <w:r w:rsidR="00E84F46" w:rsidRPr="00E84F46">
        <w:rPr>
          <w:rFonts w:ascii="Times New Roman" w:hAnsi="Times New Roman"/>
          <w:sz w:val="24"/>
          <w:szCs w:val="24"/>
          <w:shd w:val="clear" w:color="auto" w:fill="FFFFFF"/>
        </w:rPr>
        <w:t>om </w:t>
      </w:r>
      <w:r w:rsidR="00E84F46" w:rsidRPr="00E84F46">
        <w:rPr>
          <w:rStyle w:val="markvdarz8fli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za</w:t>
      </w:r>
      <w:r w:rsidR="00E84F46" w:rsidRPr="00E84F4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E84F46" w:rsidRPr="00E84F46">
        <w:rPr>
          <w:rStyle w:val="markf767tpbh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informatiku</w:t>
      </w:r>
      <w:r w:rsidR="0099549F">
        <w:rPr>
          <w:rStyle w:val="markf767tpbh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prebačeni na školu.</w:t>
      </w:r>
    </w:p>
    <w:p w14:paraId="7E98243B" w14:textId="77777777" w:rsidR="00E84F46" w:rsidRPr="00E84F46" w:rsidRDefault="00E84F46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11C7A520" w14:textId="77777777" w:rsidR="0099549F" w:rsidRDefault="0099549F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37E7D4EF" w14:textId="769CC18C" w:rsidR="005D0933" w:rsidRPr="00B21BF2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Financijski rashodi na računu 34 ostvareni </w:t>
      </w:r>
      <w:r w:rsidR="00B21BF2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6,84 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%, u odnosu na plan, te se odnose na 3433 zatezne kamate. Škola je izvršila isplate po sudskim presudama za zaposlenik</w:t>
      </w:r>
      <w:r w:rsidR="00D8672E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e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te </w:t>
      </w:r>
      <w:r w:rsidR="00D8672E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su joj za 2024. godinu ostala obveza</w:t>
      </w:r>
      <w:r w:rsidR="00D615DF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D8672E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isplatiti za  dva zaposlenika 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po osnovi sudskih sporova</w:t>
      </w:r>
      <w:r w:rsidR="00B21BF2">
        <w:rPr>
          <w:rStyle w:val="Neupadljivoisticanje"/>
          <w:rFonts w:ascii="Times New Roman" w:hAnsi="Times New Roman"/>
          <w:color w:val="auto"/>
          <w:sz w:val="24"/>
          <w:szCs w:val="24"/>
        </w:rPr>
        <w:t xml:space="preserve"> </w:t>
      </w:r>
      <w:r w:rsidR="00B21BF2" w:rsidRPr="00B21BF2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dok u 2025. nije bilo isplata po sudskim presudama.</w:t>
      </w:r>
    </w:p>
    <w:p w14:paraId="53E0999C" w14:textId="7777777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</w:p>
    <w:p w14:paraId="6A71D427" w14:textId="5A769119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</w:pP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Rashodi za nabavu nefinancijske imovine na razredu 4 izvršeni su </w:t>
      </w:r>
      <w:r w:rsidR="00B21BF2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1.486,85</w:t>
      </w:r>
      <w:r w:rsidR="00D615DF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% u odnosu na plan 202</w:t>
      </w:r>
      <w:r w:rsidR="0099549F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4</w:t>
      </w:r>
      <w:r w:rsidRPr="005D0933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. godine, a odnose se na nabavu licence, uredskog namještaja i </w:t>
      </w:r>
      <w:r w:rsidR="00D615DF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>ostale</w:t>
      </w:r>
      <w:r w:rsidR="00B21BF2">
        <w:rPr>
          <w:rStyle w:val="Neupadljivoisticanje"/>
          <w:rFonts w:ascii="Times New Roman" w:hAnsi="Times New Roman"/>
          <w:i w:val="0"/>
          <w:color w:val="auto"/>
          <w:sz w:val="24"/>
          <w:szCs w:val="24"/>
        </w:rPr>
        <w:t xml:space="preserve"> opreme. Škola je prodala stan koji je imala u svojem vlasništvu pa je novac od prodaje iskoristila za obnovu i uređenje učionica.</w:t>
      </w:r>
    </w:p>
    <w:p w14:paraId="4DC5E82C" w14:textId="77777777" w:rsidR="005D0933" w:rsidRPr="005D0933" w:rsidRDefault="005D0933" w:rsidP="005D0933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422C15A8" w14:textId="77777777" w:rsidR="00B109F7" w:rsidRPr="005D0933" w:rsidRDefault="00B109F7" w:rsidP="00B109F7">
      <w:pPr>
        <w:pStyle w:val="Bezproreda"/>
        <w:spacing w:line="276" w:lineRule="auto"/>
        <w:jc w:val="both"/>
        <w:rPr>
          <w:rStyle w:val="Neupadljivoisticanje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14:paraId="3068A442" w14:textId="77777777" w:rsidR="00B109F7" w:rsidRDefault="00B109F7" w:rsidP="00B109F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556484" w14:textId="77777777" w:rsidR="00237E4F" w:rsidRDefault="00237E4F" w:rsidP="00237E4F">
      <w:pPr>
        <w:pStyle w:val="Bezproreda"/>
        <w:jc w:val="both"/>
        <w:rPr>
          <w:rFonts w:cs="Calibri"/>
          <w:b/>
        </w:rPr>
      </w:pPr>
    </w:p>
    <w:p w14:paraId="2B01B074" w14:textId="77777777" w:rsidR="00237E4F" w:rsidRDefault="00237E4F" w:rsidP="00237E4F">
      <w:pPr>
        <w:pStyle w:val="Bezproreda"/>
        <w:jc w:val="both"/>
        <w:rPr>
          <w:rFonts w:cs="Calibri"/>
          <w:b/>
        </w:rPr>
      </w:pPr>
    </w:p>
    <w:p w14:paraId="41AC81F7" w14:textId="77777777" w:rsidR="00237E4F" w:rsidRDefault="00237E4F" w:rsidP="00237E4F">
      <w:pPr>
        <w:pStyle w:val="Bezproreda"/>
        <w:jc w:val="both"/>
        <w:rPr>
          <w:rFonts w:cs="Calibri"/>
          <w:b/>
        </w:rPr>
      </w:pPr>
    </w:p>
    <w:p w14:paraId="78FBB9DC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87DA594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51EC2927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C9E6641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6B2DC77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61DF24F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002845F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02949105" w14:textId="77777777" w:rsidR="00155243" w:rsidRDefault="00155243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F8A37AD" w14:textId="77777777" w:rsidR="00B21BF2" w:rsidRDefault="00B21BF2" w:rsidP="00237E4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084F4BF0" w14:textId="574FE828" w:rsidR="00237E4F" w:rsidRPr="00237E4F" w:rsidRDefault="00237E4F" w:rsidP="00237E4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37E4F">
        <w:rPr>
          <w:rFonts w:ascii="Times New Roman" w:hAnsi="Times New Roman"/>
          <w:b/>
          <w:sz w:val="24"/>
          <w:szCs w:val="24"/>
        </w:rPr>
        <w:t>OBRAZLOŽENJE PRENESENOG MANJKA ODNOSNO VIŠKA IZ PRETHODNE GODINE I VIŠKA ODNOSNO MANJKA ZA PRIJENOS U SLJEDEĆU GODINU/RAZDOBLJE</w:t>
      </w:r>
    </w:p>
    <w:p w14:paraId="6520F533" w14:textId="77777777" w:rsidR="00237E4F" w:rsidRPr="00237E4F" w:rsidRDefault="00237E4F" w:rsidP="00237E4F">
      <w:pPr>
        <w:rPr>
          <w:b/>
        </w:rPr>
      </w:pPr>
    </w:p>
    <w:p w14:paraId="02777262" w14:textId="27D6BF41" w:rsidR="00197AD3" w:rsidRDefault="00237E4F" w:rsidP="00237E4F">
      <w:pPr>
        <w:spacing w:line="276" w:lineRule="auto"/>
      </w:pPr>
      <w:r w:rsidRPr="00237E4F">
        <w:t>Na dan 31.12.202</w:t>
      </w:r>
      <w:r w:rsidR="00211876">
        <w:t>4</w:t>
      </w:r>
      <w:r w:rsidRPr="00237E4F">
        <w:t xml:space="preserve">.  ostvaren je višak prihoda poslovanja u iznosu </w:t>
      </w:r>
      <w:r w:rsidR="00211876" w:rsidRPr="00211876">
        <w:t>45.035,20</w:t>
      </w:r>
      <w:r w:rsidR="00211876">
        <w:t xml:space="preserve"> </w:t>
      </w:r>
      <w:r w:rsidR="00AF02B0">
        <w:t>€.</w:t>
      </w:r>
      <w:r w:rsidR="00197AD3">
        <w:t xml:space="preserve"> </w:t>
      </w:r>
    </w:p>
    <w:p w14:paraId="1164DB26" w14:textId="77777777" w:rsidR="00237E4F" w:rsidRPr="00237E4F" w:rsidRDefault="00237E4F" w:rsidP="00237E4F"/>
    <w:p w14:paraId="31B191A2" w14:textId="3F63890C" w:rsidR="00237E4F" w:rsidRDefault="00237E4F" w:rsidP="00E96E44">
      <w:r w:rsidRPr="00237E4F">
        <w:t>Planirani višak sastoji se iz slijedećih izvora financiranja:</w:t>
      </w:r>
    </w:p>
    <w:p w14:paraId="116DD6B3" w14:textId="77777777" w:rsidR="00E96E44" w:rsidRPr="00237E4F" w:rsidRDefault="00E96E44" w:rsidP="00E96E44"/>
    <w:p w14:paraId="042CD483" w14:textId="336A0B01" w:rsidR="00237E4F" w:rsidRPr="00237E4F" w:rsidRDefault="00237E4F" w:rsidP="00AF02B0">
      <w:pPr>
        <w:pStyle w:val="Odlomakpopisa"/>
        <w:numPr>
          <w:ilvl w:val="0"/>
          <w:numId w:val="8"/>
        </w:numPr>
      </w:pPr>
      <w:r w:rsidRPr="00237E4F">
        <w:t xml:space="preserve"> pomoći u iznosu </w:t>
      </w:r>
      <w:r w:rsidR="00AF02B0">
        <w:t xml:space="preserve"> </w:t>
      </w:r>
      <w:r w:rsidR="00211876">
        <w:t>25</w:t>
      </w:r>
      <w:r w:rsidR="00AF02B0">
        <w:t>.000</w:t>
      </w:r>
      <w:r w:rsidRPr="00237E4F">
        <w:t xml:space="preserve">,00 </w:t>
      </w:r>
      <w:r w:rsidR="00AF02B0">
        <w:t>€</w:t>
      </w:r>
    </w:p>
    <w:p w14:paraId="6CC30A82" w14:textId="77777777" w:rsidR="00237E4F" w:rsidRPr="00237E4F" w:rsidRDefault="00237E4F" w:rsidP="00237E4F"/>
    <w:p w14:paraId="24ADFC54" w14:textId="02E83AFC" w:rsidR="00237E4F" w:rsidRDefault="00237E4F" w:rsidP="00237E4F">
      <w:pPr>
        <w:rPr>
          <w:rFonts w:ascii="Calibri" w:hAnsi="Calibri" w:cs="Calibri"/>
          <w:sz w:val="22"/>
          <w:szCs w:val="22"/>
        </w:rPr>
      </w:pPr>
      <w:r w:rsidRPr="00237E4F">
        <w:t>Budući da je Škola planirala i ostvarila prihod  202</w:t>
      </w:r>
      <w:r w:rsidR="00211876">
        <w:t>4</w:t>
      </w:r>
      <w:r w:rsidRPr="00237E4F">
        <w:t>. godine u sklopu programa Erasmus+ pod nazivom „</w:t>
      </w:r>
      <w:r w:rsidR="00AF02B0">
        <w:t xml:space="preserve">Erasmus akreditacija </w:t>
      </w:r>
      <w:r w:rsidR="00211876" w:rsidRPr="00211876">
        <w:t>ERASMUS KA 121-VET-000211545</w:t>
      </w:r>
      <w:r w:rsidRPr="00237E4F">
        <w:t xml:space="preserve">“ u iznosu </w:t>
      </w:r>
      <w:r w:rsidR="00211876" w:rsidRPr="00211876">
        <w:t>41798,4</w:t>
      </w:r>
      <w:r w:rsidR="00211876">
        <w:t xml:space="preserve">0 </w:t>
      </w:r>
      <w:r w:rsidRPr="00237E4F">
        <w:t xml:space="preserve">eura, a projekt se provodi od </w:t>
      </w:r>
      <w:r w:rsidR="00AF02B0">
        <w:t>srpnja</w:t>
      </w:r>
      <w:r w:rsidRPr="00237E4F">
        <w:t xml:space="preserve"> 202</w:t>
      </w:r>
      <w:r w:rsidR="00211876">
        <w:t>4</w:t>
      </w:r>
      <w:r w:rsidRPr="00237E4F">
        <w:t>. do kolovoza 202</w:t>
      </w:r>
      <w:r w:rsidR="00211876">
        <w:t>5</w:t>
      </w:r>
      <w:r w:rsidRPr="00237E4F">
        <w:t>. godine u kojemu je za 202</w:t>
      </w:r>
      <w:r w:rsidR="00211876">
        <w:t>5</w:t>
      </w:r>
      <w:r w:rsidRPr="00237E4F">
        <w:t>. planirano stručno usavršavanje nastavnika razrednika i stručnih suradnika te mobilnost učenika u ukupnom iznosu</w:t>
      </w:r>
      <w:r w:rsidR="00211876">
        <w:t>. Utrošeno je 39.136,46 €, dok je raspoloživo ostalo 2.661,94 €.</w:t>
      </w:r>
    </w:p>
    <w:p w14:paraId="1C446E7C" w14:textId="77777777" w:rsidR="00237E4F" w:rsidRPr="00B109F7" w:rsidRDefault="00237E4F" w:rsidP="00B109F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DF6501" w14:textId="77777777" w:rsidR="006C2386" w:rsidRDefault="006C2386" w:rsidP="003A55EE">
      <w:pPr>
        <w:rPr>
          <w:b/>
          <w:bCs/>
          <w:color w:val="000000"/>
        </w:rPr>
      </w:pPr>
    </w:p>
    <w:p w14:paraId="278A2DC9" w14:textId="77777777" w:rsidR="00B21BF2" w:rsidRDefault="00B21BF2" w:rsidP="003A55EE">
      <w:pPr>
        <w:rPr>
          <w:b/>
          <w:bCs/>
          <w:color w:val="000000"/>
        </w:rPr>
      </w:pPr>
    </w:p>
    <w:p w14:paraId="798D1668" w14:textId="77777777" w:rsidR="00B21BF2" w:rsidRDefault="00B21BF2" w:rsidP="003A55EE">
      <w:pPr>
        <w:rPr>
          <w:b/>
          <w:bCs/>
          <w:color w:val="000000"/>
        </w:rPr>
      </w:pPr>
    </w:p>
    <w:p w14:paraId="3258A318" w14:textId="77777777" w:rsidR="00B21BF2" w:rsidRDefault="00B21BF2" w:rsidP="003A55EE">
      <w:pPr>
        <w:rPr>
          <w:b/>
          <w:bCs/>
          <w:color w:val="000000"/>
        </w:rPr>
      </w:pPr>
    </w:p>
    <w:p w14:paraId="727E6C94" w14:textId="77777777" w:rsidR="00B21BF2" w:rsidRDefault="00B21BF2" w:rsidP="003A55EE">
      <w:pPr>
        <w:rPr>
          <w:b/>
          <w:bCs/>
          <w:color w:val="000000"/>
        </w:rPr>
      </w:pPr>
    </w:p>
    <w:p w14:paraId="7FB174BC" w14:textId="77777777" w:rsidR="00B21BF2" w:rsidRDefault="00B21BF2" w:rsidP="003A55EE">
      <w:pPr>
        <w:rPr>
          <w:b/>
          <w:bCs/>
          <w:color w:val="000000"/>
        </w:rPr>
      </w:pPr>
    </w:p>
    <w:p w14:paraId="6695103F" w14:textId="77777777" w:rsidR="00B21BF2" w:rsidRDefault="00B21BF2" w:rsidP="003A55EE">
      <w:pPr>
        <w:rPr>
          <w:b/>
          <w:bCs/>
          <w:color w:val="000000"/>
        </w:rPr>
      </w:pPr>
    </w:p>
    <w:p w14:paraId="4A1137FE" w14:textId="77777777" w:rsidR="00B21BF2" w:rsidRDefault="00B21BF2" w:rsidP="003A55EE">
      <w:pPr>
        <w:rPr>
          <w:b/>
          <w:bCs/>
          <w:color w:val="000000"/>
        </w:rPr>
      </w:pPr>
    </w:p>
    <w:p w14:paraId="6F6032BE" w14:textId="77777777" w:rsidR="00B21BF2" w:rsidRDefault="00B21BF2" w:rsidP="003A55EE">
      <w:pPr>
        <w:rPr>
          <w:b/>
          <w:bCs/>
          <w:color w:val="000000"/>
        </w:rPr>
      </w:pPr>
    </w:p>
    <w:p w14:paraId="63E75856" w14:textId="77777777" w:rsidR="00B21BF2" w:rsidRDefault="00B21BF2" w:rsidP="003A55EE">
      <w:pPr>
        <w:rPr>
          <w:b/>
          <w:bCs/>
          <w:color w:val="000000"/>
        </w:rPr>
      </w:pPr>
    </w:p>
    <w:p w14:paraId="2D1335C6" w14:textId="77777777" w:rsidR="00B21BF2" w:rsidRDefault="00B21BF2" w:rsidP="003A55EE">
      <w:pPr>
        <w:rPr>
          <w:b/>
          <w:bCs/>
          <w:color w:val="000000"/>
        </w:rPr>
      </w:pPr>
    </w:p>
    <w:p w14:paraId="6293D326" w14:textId="77777777" w:rsidR="00B21BF2" w:rsidRDefault="00B21BF2" w:rsidP="003A55EE">
      <w:pPr>
        <w:rPr>
          <w:b/>
          <w:bCs/>
          <w:color w:val="000000"/>
        </w:rPr>
      </w:pPr>
    </w:p>
    <w:p w14:paraId="2810CD78" w14:textId="77777777" w:rsidR="00B21BF2" w:rsidRDefault="00B21BF2" w:rsidP="003A55EE">
      <w:pPr>
        <w:rPr>
          <w:b/>
          <w:bCs/>
          <w:color w:val="000000"/>
        </w:rPr>
      </w:pPr>
    </w:p>
    <w:p w14:paraId="53FDDD99" w14:textId="77777777" w:rsidR="00B21BF2" w:rsidRDefault="00B21BF2" w:rsidP="003A55EE">
      <w:pPr>
        <w:rPr>
          <w:b/>
          <w:bCs/>
          <w:color w:val="000000"/>
        </w:rPr>
      </w:pPr>
    </w:p>
    <w:p w14:paraId="07447ADE" w14:textId="77777777" w:rsidR="00B21BF2" w:rsidRDefault="00B21BF2" w:rsidP="003A55EE">
      <w:pPr>
        <w:rPr>
          <w:b/>
          <w:bCs/>
          <w:color w:val="000000"/>
        </w:rPr>
      </w:pPr>
    </w:p>
    <w:p w14:paraId="17E8CE19" w14:textId="77777777" w:rsidR="00B21BF2" w:rsidRDefault="00B21BF2" w:rsidP="003A55EE">
      <w:pPr>
        <w:rPr>
          <w:b/>
          <w:bCs/>
          <w:color w:val="000000"/>
        </w:rPr>
      </w:pPr>
    </w:p>
    <w:p w14:paraId="3CEF5932" w14:textId="77777777" w:rsidR="00B21BF2" w:rsidRDefault="00B21BF2" w:rsidP="003A55EE">
      <w:pPr>
        <w:rPr>
          <w:b/>
          <w:bCs/>
          <w:color w:val="000000"/>
        </w:rPr>
      </w:pPr>
    </w:p>
    <w:p w14:paraId="66D2D72F" w14:textId="77777777" w:rsidR="00B21BF2" w:rsidRDefault="00B21BF2" w:rsidP="003A55EE">
      <w:pPr>
        <w:rPr>
          <w:b/>
          <w:bCs/>
          <w:color w:val="000000"/>
        </w:rPr>
      </w:pPr>
    </w:p>
    <w:p w14:paraId="366CF8CE" w14:textId="77777777" w:rsidR="00B21BF2" w:rsidRDefault="00B21BF2" w:rsidP="003A55EE">
      <w:pPr>
        <w:rPr>
          <w:b/>
          <w:bCs/>
          <w:color w:val="000000"/>
        </w:rPr>
      </w:pPr>
    </w:p>
    <w:p w14:paraId="2C58C188" w14:textId="77777777" w:rsidR="00B21BF2" w:rsidRDefault="00B21BF2" w:rsidP="003A55EE">
      <w:pPr>
        <w:rPr>
          <w:b/>
          <w:bCs/>
          <w:color w:val="000000"/>
        </w:rPr>
      </w:pPr>
    </w:p>
    <w:p w14:paraId="3AD2692C" w14:textId="77777777" w:rsidR="00B21BF2" w:rsidRDefault="00B21BF2" w:rsidP="003A55EE">
      <w:pPr>
        <w:rPr>
          <w:b/>
          <w:bCs/>
          <w:color w:val="000000"/>
        </w:rPr>
      </w:pPr>
    </w:p>
    <w:p w14:paraId="3276C5EB" w14:textId="77777777" w:rsidR="00B21BF2" w:rsidRDefault="00B21BF2" w:rsidP="003A55EE">
      <w:pPr>
        <w:rPr>
          <w:b/>
          <w:bCs/>
          <w:color w:val="000000"/>
        </w:rPr>
      </w:pPr>
    </w:p>
    <w:p w14:paraId="67CB62E6" w14:textId="77777777" w:rsidR="00B21BF2" w:rsidRDefault="00B21BF2" w:rsidP="003A55EE">
      <w:pPr>
        <w:rPr>
          <w:b/>
          <w:bCs/>
          <w:color w:val="000000"/>
        </w:rPr>
      </w:pPr>
    </w:p>
    <w:p w14:paraId="49308743" w14:textId="77777777" w:rsidR="00B21BF2" w:rsidRDefault="00B21BF2" w:rsidP="003A55EE">
      <w:pPr>
        <w:rPr>
          <w:b/>
          <w:bCs/>
          <w:color w:val="000000"/>
        </w:rPr>
      </w:pPr>
    </w:p>
    <w:p w14:paraId="5E0F9D2E" w14:textId="77777777" w:rsidR="00B21BF2" w:rsidRDefault="00B21BF2" w:rsidP="003A55EE">
      <w:pPr>
        <w:rPr>
          <w:b/>
          <w:bCs/>
          <w:color w:val="000000"/>
        </w:rPr>
      </w:pPr>
    </w:p>
    <w:p w14:paraId="645F75E0" w14:textId="77777777" w:rsidR="00B21BF2" w:rsidRDefault="00B21BF2" w:rsidP="003A55EE">
      <w:pPr>
        <w:rPr>
          <w:b/>
          <w:bCs/>
          <w:color w:val="000000"/>
        </w:rPr>
      </w:pPr>
    </w:p>
    <w:p w14:paraId="740AB5EC" w14:textId="77777777" w:rsidR="00B21BF2" w:rsidRDefault="00B21BF2" w:rsidP="003A55EE">
      <w:pPr>
        <w:rPr>
          <w:b/>
          <w:bCs/>
          <w:color w:val="000000"/>
        </w:rPr>
      </w:pPr>
    </w:p>
    <w:p w14:paraId="384372D1" w14:textId="77777777" w:rsidR="00B21BF2" w:rsidRDefault="00B21BF2" w:rsidP="003A55EE">
      <w:pPr>
        <w:rPr>
          <w:b/>
          <w:bCs/>
          <w:color w:val="000000"/>
        </w:rPr>
      </w:pPr>
    </w:p>
    <w:p w14:paraId="0B385A19" w14:textId="77777777" w:rsidR="00B21BF2" w:rsidRDefault="00B21BF2" w:rsidP="003A55EE">
      <w:pPr>
        <w:rPr>
          <w:b/>
          <w:bCs/>
          <w:color w:val="000000"/>
        </w:rPr>
      </w:pPr>
    </w:p>
    <w:p w14:paraId="72FFD95D" w14:textId="77777777" w:rsidR="00B21BF2" w:rsidRDefault="00B21BF2" w:rsidP="003A55EE">
      <w:pPr>
        <w:rPr>
          <w:b/>
          <w:bCs/>
          <w:color w:val="000000"/>
        </w:rPr>
      </w:pPr>
    </w:p>
    <w:p w14:paraId="0997438F" w14:textId="77777777" w:rsidR="00B21BF2" w:rsidRDefault="00B21BF2" w:rsidP="003A55EE">
      <w:pPr>
        <w:rPr>
          <w:b/>
          <w:bCs/>
          <w:color w:val="000000"/>
        </w:rPr>
      </w:pPr>
    </w:p>
    <w:p w14:paraId="38FBAD67" w14:textId="77777777" w:rsidR="00211876" w:rsidRDefault="00211876" w:rsidP="003A55EE">
      <w:pPr>
        <w:rPr>
          <w:b/>
          <w:bCs/>
          <w:color w:val="000000"/>
        </w:rPr>
      </w:pPr>
    </w:p>
    <w:p w14:paraId="3C4D6213" w14:textId="5C42CBF4" w:rsidR="003A55EE" w:rsidRPr="003A55EE" w:rsidRDefault="003A55EE" w:rsidP="003A55EE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OBRAZLOŽENJE POSEBNOG DIJELA </w:t>
      </w:r>
      <w:r w:rsidR="00AD4367">
        <w:rPr>
          <w:b/>
          <w:bCs/>
          <w:color w:val="000000"/>
        </w:rPr>
        <w:t>POLU</w:t>
      </w:r>
      <w:r w:rsidRPr="003A55EE">
        <w:rPr>
          <w:b/>
          <w:bCs/>
          <w:color w:val="000000"/>
        </w:rPr>
        <w:t>GODIŠNJEG IZVJEŠTAJA O IZVRŠENJU FINANCIJSKOG PLANA</w:t>
      </w:r>
    </w:p>
    <w:p w14:paraId="7FB846AB" w14:textId="77777777" w:rsidR="003A55EE" w:rsidRDefault="003A55EE" w:rsidP="003A55EE">
      <w:pPr>
        <w:jc w:val="both"/>
        <w:rPr>
          <w:rFonts w:ascii="Calibri" w:hAnsi="Calibri" w:cs="Calibri"/>
          <w:b/>
          <w:bCs/>
          <w:color w:val="000000"/>
        </w:rPr>
      </w:pPr>
    </w:p>
    <w:p w14:paraId="5B7C112B" w14:textId="77777777" w:rsidR="003A55EE" w:rsidRPr="00315268" w:rsidRDefault="003A55EE" w:rsidP="003A55EE">
      <w:pPr>
        <w:jc w:val="both"/>
        <w:rPr>
          <w:szCs w:val="2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  <w:gridCol w:w="265"/>
        <w:gridCol w:w="8008"/>
      </w:tblGrid>
      <w:tr w:rsidR="003A55EE" w:rsidRPr="00315268" w14:paraId="08180A4D" w14:textId="77777777" w:rsidTr="003A55EE">
        <w:trPr>
          <w:trHeight w:val="96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B92FC" w14:textId="77777777" w:rsidR="003A55EE" w:rsidRPr="003A55EE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  <w:r w:rsidRPr="003A55EE">
              <w:rPr>
                <w:iCs/>
                <w:sz w:val="20"/>
                <w:szCs w:val="20"/>
              </w:rPr>
              <w:t>NAZIV KORISNIKA:</w:t>
            </w:r>
          </w:p>
          <w:p w14:paraId="6E32AAC1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CDACD2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74112A" w14:textId="0EA72992" w:rsidR="003A55EE" w:rsidRPr="003A55EE" w:rsidRDefault="003A55EE" w:rsidP="003A55EE">
            <w:pPr>
              <w:jc w:val="both"/>
              <w:rPr>
                <w:bCs/>
                <w:sz w:val="20"/>
                <w:szCs w:val="20"/>
              </w:rPr>
            </w:pPr>
            <w:r w:rsidRPr="003A55EE">
              <w:rPr>
                <w:bCs/>
                <w:sz w:val="20"/>
                <w:szCs w:val="20"/>
              </w:rPr>
              <w:t>SAŽETAK DJELOKRUGA RADA:</w:t>
            </w:r>
          </w:p>
          <w:p w14:paraId="3AC37264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084329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057E1F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C43969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DB5C4C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707959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DEC0579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9AF15C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D2A40BE" w14:textId="3DF26D87" w:rsidR="003A55EE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60A352" w14:textId="4E663B02" w:rsidR="00B21BF2" w:rsidRDefault="00B21BF2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2F29ABC" w14:textId="77777777" w:rsidR="00B21BF2" w:rsidRPr="00315268" w:rsidRDefault="00B21BF2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27198D" w14:textId="1FD80D93" w:rsidR="003A55EE" w:rsidRPr="003A55EE" w:rsidRDefault="003A55EE" w:rsidP="003A55EE">
            <w:pPr>
              <w:rPr>
                <w:bCs/>
                <w:sz w:val="20"/>
                <w:szCs w:val="20"/>
              </w:rPr>
            </w:pPr>
            <w:r w:rsidRPr="003A55EE">
              <w:rPr>
                <w:bCs/>
                <w:sz w:val="20"/>
                <w:szCs w:val="20"/>
              </w:rPr>
              <w:t xml:space="preserve">IZVRŠENJE 1. - </w:t>
            </w:r>
            <w:r w:rsidR="00AD4367">
              <w:rPr>
                <w:bCs/>
                <w:sz w:val="20"/>
                <w:szCs w:val="20"/>
              </w:rPr>
              <w:t>06</w:t>
            </w:r>
            <w:r w:rsidRPr="003A55EE">
              <w:rPr>
                <w:bCs/>
                <w:sz w:val="20"/>
                <w:szCs w:val="20"/>
              </w:rPr>
              <w:t>.202</w:t>
            </w:r>
            <w:r w:rsidR="00B21BF2">
              <w:rPr>
                <w:bCs/>
                <w:sz w:val="20"/>
                <w:szCs w:val="20"/>
              </w:rPr>
              <w:t>5</w:t>
            </w:r>
            <w:r w:rsidRPr="003A55EE">
              <w:rPr>
                <w:bCs/>
                <w:sz w:val="20"/>
                <w:szCs w:val="20"/>
              </w:rPr>
              <w:t>.</w:t>
            </w:r>
          </w:p>
          <w:p w14:paraId="500BF6E3" w14:textId="77777777" w:rsidR="003A55EE" w:rsidRPr="00315268" w:rsidRDefault="003A55EE" w:rsidP="003A55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60B32EF" w14:textId="77777777" w:rsidR="003A55EE" w:rsidRPr="00315268" w:rsidRDefault="003A55EE" w:rsidP="003A55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6ADFE2D" w14:textId="77777777" w:rsidR="003A55EE" w:rsidRPr="00315268" w:rsidRDefault="003A55EE" w:rsidP="003A55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BFCC7DB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8C0FA6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12D25" w14:textId="77777777" w:rsidR="003A55EE" w:rsidRPr="004B374B" w:rsidRDefault="004B374B" w:rsidP="003A55EE">
            <w:pPr>
              <w:keepNext/>
              <w:jc w:val="both"/>
              <w:outlineLvl w:val="0"/>
              <w:rPr>
                <w:b/>
                <w:i/>
                <w:iCs/>
                <w:u w:val="single"/>
              </w:rPr>
            </w:pPr>
            <w:r w:rsidRPr="004B374B">
              <w:rPr>
                <w:b/>
                <w:i/>
                <w:iCs/>
                <w:u w:val="single"/>
              </w:rPr>
              <w:t>GRADITELJSKO – GEODETSKA ŠKOLA OSIJEK</w:t>
            </w:r>
          </w:p>
          <w:p w14:paraId="5A6DB61D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F04FED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7370553" w14:textId="77777777" w:rsidR="000E6375" w:rsidRPr="00C3107C" w:rsidRDefault="000E6375" w:rsidP="000E6375">
            <w:pPr>
              <w:pStyle w:val="StandardWeb"/>
              <w:spacing w:line="276" w:lineRule="auto"/>
            </w:pPr>
            <w:r w:rsidRPr="00C3107C">
              <w:t>Škola je javna ustanova koja obavlja djelatnost odgoja i srednjeg strukovnog obrazovanja u skladu s aktom o osnivanju Škole i rješenjima ministarstva nadležnog za poslove obrazovanja o odobrenju izvođenja programa.</w:t>
            </w:r>
          </w:p>
          <w:p w14:paraId="24D40CE8" w14:textId="77777777" w:rsidR="000E6375" w:rsidRPr="009779DC" w:rsidRDefault="000E6375" w:rsidP="000E6375">
            <w:pPr>
              <w:spacing w:line="276" w:lineRule="auto"/>
            </w:pPr>
            <w:r w:rsidRPr="00C3107C">
              <w:t xml:space="preserve">Djelatnost srednjeg odgoja i obrazovanja Škola ostvaruje na temelju nacionalnog kurikuluma, </w:t>
            </w:r>
            <w:r w:rsidRPr="009779DC">
              <w:t xml:space="preserve">strukovnog kurikuluma, nastavnog plana i programa i školskog kurikuluma. </w:t>
            </w:r>
          </w:p>
          <w:p w14:paraId="75FFEC41" w14:textId="77777777" w:rsidR="000E6375" w:rsidRDefault="000E6375" w:rsidP="000E6375">
            <w:pPr>
              <w:spacing w:line="276" w:lineRule="auto"/>
            </w:pPr>
            <w:r w:rsidRPr="00C3107C">
              <w:t>Škola izvodi nastavu u pet radnih dana tjedno u dvije smjene</w:t>
            </w:r>
            <w:r>
              <w:t>,</w:t>
            </w:r>
            <w:r w:rsidRPr="00C3107C">
              <w:t xml:space="preserve"> u razrednim odjelima i obrazovnim skupinama.</w:t>
            </w:r>
          </w:p>
          <w:p w14:paraId="761780DB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B74C83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8FF40A3" w14:textId="77777777" w:rsidR="00D8288B" w:rsidRPr="00FA5238" w:rsidRDefault="000E6375" w:rsidP="000E6375">
            <w:r w:rsidRPr="00FA5238">
              <w:t xml:space="preserve">Pregled </w:t>
            </w:r>
            <w:r w:rsidR="00D8288B" w:rsidRPr="00FA5238">
              <w:t>izvršenja rashoda po programima:</w:t>
            </w:r>
          </w:p>
          <w:p w14:paraId="535FA194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7138" w:type="dxa"/>
              <w:tblLook w:val="04A0" w:firstRow="1" w:lastRow="0" w:firstColumn="1" w:lastColumn="0" w:noHBand="0" w:noVBand="1"/>
            </w:tblPr>
            <w:tblGrid>
              <w:gridCol w:w="550"/>
              <w:gridCol w:w="2520"/>
              <w:gridCol w:w="1476"/>
              <w:gridCol w:w="1476"/>
              <w:gridCol w:w="1485"/>
            </w:tblGrid>
            <w:tr w:rsidR="003A55EE" w:rsidRPr="00315268" w14:paraId="72DA4F4A" w14:textId="77777777" w:rsidTr="000E6375">
              <w:trPr>
                <w:trHeight w:val="30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687FB" w14:textId="77777777" w:rsidR="003A55EE" w:rsidRPr="000E6375" w:rsidRDefault="003A55EE" w:rsidP="003A55E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0E6375">
                    <w:rPr>
                      <w:bCs/>
                      <w:color w:val="000000"/>
                      <w:sz w:val="20"/>
                      <w:szCs w:val="20"/>
                    </w:rPr>
                    <w:t>R.b</w:t>
                  </w:r>
                  <w:proofErr w:type="spellEnd"/>
                  <w:r w:rsidRPr="000E6375">
                    <w:rPr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B5A29" w14:textId="77777777" w:rsidR="003A55EE" w:rsidRPr="000E6375" w:rsidRDefault="003A55EE" w:rsidP="003A55E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color w:val="000000"/>
                      <w:sz w:val="20"/>
                      <w:szCs w:val="20"/>
                    </w:rPr>
                    <w:t>Naziv programa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EB6A8" w14:textId="5498A2B2" w:rsidR="003A55EE" w:rsidRPr="000E6375" w:rsidRDefault="003A55EE" w:rsidP="003A55E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bCs/>
                      <w:color w:val="000000"/>
                      <w:sz w:val="20"/>
                      <w:szCs w:val="20"/>
                    </w:rPr>
                    <w:t>Plan za 202</w:t>
                  </w:r>
                  <w:r w:rsidR="00DC6FF7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0E6375">
                    <w:rPr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03C2" w14:textId="0F1BDBF2" w:rsidR="003A55EE" w:rsidRPr="000E6375" w:rsidRDefault="003A55EE" w:rsidP="003A55E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color w:val="000000"/>
                      <w:sz w:val="20"/>
                      <w:szCs w:val="20"/>
                    </w:rPr>
                    <w:t xml:space="preserve">Izvršenje    1. – </w:t>
                  </w:r>
                  <w:r w:rsidR="00AD4367">
                    <w:rPr>
                      <w:color w:val="000000"/>
                      <w:sz w:val="20"/>
                      <w:szCs w:val="20"/>
                    </w:rPr>
                    <w:t>06</w:t>
                  </w:r>
                  <w:r w:rsidRPr="00295106">
                    <w:rPr>
                      <w:color w:val="000000"/>
                      <w:sz w:val="20"/>
                      <w:szCs w:val="20"/>
                    </w:rPr>
                    <w:t>. 202</w:t>
                  </w:r>
                  <w:r w:rsidR="00DC6FF7"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0E6375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6C9D9" w14:textId="77777777" w:rsidR="003A55EE" w:rsidRPr="000E6375" w:rsidRDefault="003A55EE" w:rsidP="003A55E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color w:val="000000"/>
                      <w:sz w:val="20"/>
                      <w:szCs w:val="20"/>
                    </w:rPr>
                    <w:t>Indeks Izvršenje/Plan</w:t>
                  </w:r>
                </w:p>
              </w:tc>
            </w:tr>
            <w:tr w:rsidR="000E6375" w:rsidRPr="00315268" w14:paraId="5CC1393E" w14:textId="77777777" w:rsidTr="000E6375">
              <w:trPr>
                <w:trHeight w:val="675"/>
              </w:trPr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0B255" w14:textId="77777777" w:rsidR="000E6375" w:rsidRPr="000E6375" w:rsidRDefault="000E6375" w:rsidP="000E6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6648CF" w14:textId="77777777" w:rsidR="000E6375" w:rsidRDefault="000E6375" w:rsidP="000E6375">
                  <w:r w:rsidRPr="000E6375">
                    <w:t xml:space="preserve"> </w:t>
                  </w:r>
                  <w:r>
                    <w:t>PROGRAM 1207</w:t>
                  </w:r>
                </w:p>
                <w:p w14:paraId="6804168C" w14:textId="77777777" w:rsidR="000E6375" w:rsidRPr="000E6375" w:rsidRDefault="000E6375" w:rsidP="000E6375">
                  <w:r>
                    <w:t>RAZVOJ – ODGOJNO OBRAZVNOG SUSTAVA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E1E188" w14:textId="23267399" w:rsidR="000E6375" w:rsidRPr="000E6375" w:rsidRDefault="00490F26" w:rsidP="000E6375">
                  <w:pPr>
                    <w:jc w:val="center"/>
                  </w:pPr>
                  <w:r>
                    <w:t>6.010,00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961518" w14:textId="548CA8BB" w:rsidR="000E6375" w:rsidRPr="000E6375" w:rsidRDefault="00490F26" w:rsidP="000E6375">
                  <w:pPr>
                    <w:jc w:val="center"/>
                  </w:pPr>
                  <w:r>
                    <w:t>1.784,54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B408C4" w14:textId="4348031F" w:rsidR="000E6375" w:rsidRPr="000E6375" w:rsidRDefault="00490F26" w:rsidP="000E6375">
                  <w:pPr>
                    <w:jc w:val="center"/>
                  </w:pPr>
                  <w:r>
                    <w:t>29,69</w:t>
                  </w:r>
                  <w:r w:rsidR="00295106">
                    <w:t xml:space="preserve"> %</w:t>
                  </w:r>
                </w:p>
              </w:tc>
            </w:tr>
            <w:tr w:rsidR="000E6375" w:rsidRPr="00315268" w14:paraId="76D2CA6D" w14:textId="77777777" w:rsidTr="000E6375">
              <w:trPr>
                <w:trHeight w:val="450"/>
              </w:trPr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DEB0B" w14:textId="77777777" w:rsidR="000E6375" w:rsidRPr="000E6375" w:rsidRDefault="000E6375" w:rsidP="000E6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EF7F0" w14:textId="77777777" w:rsidR="000E6375" w:rsidRPr="000E6375" w:rsidRDefault="000E6375" w:rsidP="000E6375">
                  <w:r w:rsidRPr="000E6375">
                    <w:t xml:space="preserve"> PROGRAM 7007 FINANCIRANJE SREDNJEG ŠKOLSTVA PREMA MINIMALNOM STANDARDU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AA7E3D" w14:textId="241BCD30" w:rsidR="000E6375" w:rsidRPr="000E6375" w:rsidRDefault="00490F26" w:rsidP="000E6375">
                  <w:pPr>
                    <w:jc w:val="center"/>
                  </w:pPr>
                  <w:r>
                    <w:t>173.682,00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B9D203" w14:textId="10733720" w:rsidR="000E6375" w:rsidRPr="000E6375" w:rsidRDefault="00490F26" w:rsidP="000E6375">
                  <w:pPr>
                    <w:jc w:val="center"/>
                  </w:pPr>
                  <w:r>
                    <w:t>85.157,85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BA8D7E" w14:textId="56BBFC0B" w:rsidR="000E6375" w:rsidRPr="000E6375" w:rsidRDefault="00490F26" w:rsidP="000E6375">
                  <w:pPr>
                    <w:jc w:val="center"/>
                  </w:pPr>
                  <w:r>
                    <w:t>49,03</w:t>
                  </w:r>
                  <w:r w:rsidR="00AD4367">
                    <w:t xml:space="preserve"> %</w:t>
                  </w:r>
                </w:p>
              </w:tc>
            </w:tr>
            <w:tr w:rsidR="000E6375" w:rsidRPr="00315268" w14:paraId="13488FEC" w14:textId="77777777" w:rsidTr="000E6375">
              <w:trPr>
                <w:trHeight w:val="450"/>
              </w:trPr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CA585" w14:textId="77777777" w:rsidR="000E6375" w:rsidRPr="000E6375" w:rsidRDefault="000E6375" w:rsidP="000E6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6375">
                    <w:rPr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56A4C6" w14:textId="77777777" w:rsidR="000E6375" w:rsidRPr="000E6375" w:rsidRDefault="000E6375" w:rsidP="000E6375">
                  <w:r w:rsidRPr="000E6375">
                    <w:t xml:space="preserve"> PROGRAM 7011 FINANCIRANJE ŠKOLSTVA IZVAN ŽUPANIJSKOG PRORAČUNA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FC2862" w14:textId="28A5C124" w:rsidR="000E6375" w:rsidRPr="000E6375" w:rsidRDefault="00490F26" w:rsidP="000E637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1.579.341,00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A5F32B" w14:textId="70C23DE4" w:rsidR="000E6375" w:rsidRPr="000E6375" w:rsidRDefault="00490F26" w:rsidP="000E637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1.224.395,56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6EA1F9" w14:textId="2D67C2CD" w:rsidR="000E6375" w:rsidRPr="000E6375" w:rsidRDefault="00490F26" w:rsidP="000E6375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77,53</w:t>
                  </w:r>
                  <w:r w:rsidR="00AD4367">
                    <w:rPr>
                      <w:bCs/>
                    </w:rPr>
                    <w:t xml:space="preserve"> %</w:t>
                  </w:r>
                </w:p>
              </w:tc>
            </w:tr>
            <w:tr w:rsidR="000E6375" w:rsidRPr="00315268" w14:paraId="0F0AEE7B" w14:textId="77777777" w:rsidTr="000E6375">
              <w:trPr>
                <w:trHeight w:val="300"/>
              </w:trPr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608A1" w14:textId="77777777" w:rsidR="000E6375" w:rsidRPr="00315268" w:rsidRDefault="000E6375" w:rsidP="000E637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1526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45F5AA" w14:textId="77777777" w:rsidR="000E6375" w:rsidRPr="000E6375" w:rsidRDefault="000E6375" w:rsidP="000E6375">
                  <w:pPr>
                    <w:rPr>
                      <w:b/>
                      <w:bCs/>
                    </w:rPr>
                  </w:pPr>
                  <w:r w:rsidRPr="000E6375">
                    <w:rPr>
                      <w:b/>
                      <w:bCs/>
                    </w:rPr>
                    <w:t xml:space="preserve"> UKUPNO: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EE20D2" w14:textId="647A487C" w:rsidR="000E6375" w:rsidRPr="00DD6C18" w:rsidRDefault="00490F26" w:rsidP="000E637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1.759.033,00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6DFC9E" w14:textId="0E766165" w:rsidR="000E6375" w:rsidRPr="00DD6C18" w:rsidRDefault="00490F26" w:rsidP="000E637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1.311.337,95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811B8E" w14:textId="7A4F497B" w:rsidR="000E6375" w:rsidRPr="00DD6C18" w:rsidRDefault="00490F26" w:rsidP="000E637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74,55</w:t>
                  </w:r>
                  <w:r w:rsidR="00AD4367">
                    <w:rPr>
                      <w:b/>
                      <w:bCs/>
                      <w:sz w:val="22"/>
                      <w:szCs w:val="22"/>
                    </w:rPr>
                    <w:t xml:space="preserve"> %</w:t>
                  </w:r>
                </w:p>
              </w:tc>
            </w:tr>
          </w:tbl>
          <w:p w14:paraId="316B9AA2" w14:textId="77777777" w:rsidR="003A55EE" w:rsidRPr="00315268" w:rsidRDefault="003A55EE" w:rsidP="003A55E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4FF076" w14:textId="77777777" w:rsidR="003A55EE" w:rsidRPr="00315268" w:rsidRDefault="003A55EE" w:rsidP="003A55E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222"/>
        <w:gridCol w:w="7886"/>
      </w:tblGrid>
      <w:tr w:rsidR="003A55EE" w:rsidRPr="00315268" w14:paraId="38C563FA" w14:textId="77777777" w:rsidTr="003A55EE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89318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  <w:r w:rsidRPr="00517EF0">
              <w:rPr>
                <w:iCs/>
                <w:sz w:val="20"/>
                <w:szCs w:val="20"/>
              </w:rPr>
              <w:lastRenderedPageBreak/>
              <w:t>NAZIV PROGRAMA:</w:t>
            </w:r>
          </w:p>
          <w:p w14:paraId="0FBFCA5A" w14:textId="77777777" w:rsidR="003A55EE" w:rsidRPr="00517EF0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4BC28EE0" w14:textId="77777777" w:rsidR="008C6677" w:rsidRDefault="008C6677" w:rsidP="003A55EE">
            <w:pPr>
              <w:rPr>
                <w:bCs/>
                <w:sz w:val="20"/>
                <w:szCs w:val="20"/>
              </w:rPr>
            </w:pPr>
          </w:p>
          <w:p w14:paraId="01EFF95A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OPIS PROGRAMA, OPĆI I POSEBNI CILJEVI:</w:t>
            </w:r>
          </w:p>
          <w:p w14:paraId="6E3D9A3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C52AD8A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AD86B7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B9F700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E996E12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F2084E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D98508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7559851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9C1366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450616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AB6C7A0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11518F9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16BC5C0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E8E208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D83BE3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224A9D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3941B28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3E2B203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AD3E6E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E4DB5C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6449F23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199F2D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A06A030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B3C291A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E01B83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304F3D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00C55FA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544B38DA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64D0E5A6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3D070512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515A4F5E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10A39C19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6FA8217A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20194094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03CF3FF7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40D5A42C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5F0803B9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5183C4F2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4727519A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4A726B0B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228166A1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594AFBF7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2CB10587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1E2DDADF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603253C8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05C51765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751F3B34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4A2F3EF7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118F53FD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4295C49C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06A47B41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6F191346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30055A25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585FFEB4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75BB213E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26F75045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78CF2D92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3F143752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059B133E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293DEBD2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38F6A170" w14:textId="77777777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47A35907" w14:textId="77777777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3CA9C2A3" w14:textId="77777777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350B77B9" w14:textId="77777777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6290CA04" w14:textId="51048FAF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37091CF8" w14:textId="73A91B40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39875931" w14:textId="187578DB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6DAA2B0B" w14:textId="34423BC2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6BFB5791" w14:textId="245B4A91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5D485DF0" w14:textId="3C48A20B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497D6260" w14:textId="77777777" w:rsidR="00281E7A" w:rsidRDefault="00281E7A" w:rsidP="003A55EE">
            <w:pPr>
              <w:rPr>
                <w:bCs/>
                <w:sz w:val="20"/>
                <w:szCs w:val="20"/>
              </w:rPr>
            </w:pPr>
          </w:p>
          <w:p w14:paraId="478C96E7" w14:textId="13FCC150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ZAKONSKA OSNOVA ZA UVOĐENJE PROGRAMA:</w:t>
            </w:r>
          </w:p>
          <w:p w14:paraId="7785FDE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A6B370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E2BD25A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2319E5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4951D32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78DBE9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3D6506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FD717D9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9BA9B8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6EE412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D4608D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2CF4A73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567E5E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DECD898" w14:textId="77777777" w:rsidR="008C6677" w:rsidRDefault="008C6677" w:rsidP="003A55EE">
            <w:pPr>
              <w:rPr>
                <w:bCs/>
                <w:sz w:val="20"/>
                <w:szCs w:val="20"/>
              </w:rPr>
            </w:pPr>
          </w:p>
          <w:p w14:paraId="523DFFBB" w14:textId="35C3E378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 xml:space="preserve">IZVRŠENJE 1. – </w:t>
            </w:r>
            <w:r w:rsidR="007867AB">
              <w:rPr>
                <w:bCs/>
                <w:sz w:val="20"/>
                <w:szCs w:val="20"/>
              </w:rPr>
              <w:t>06</w:t>
            </w:r>
            <w:r w:rsidRPr="00517EF0">
              <w:rPr>
                <w:bCs/>
                <w:sz w:val="20"/>
                <w:szCs w:val="20"/>
              </w:rPr>
              <w:t>.202</w:t>
            </w:r>
            <w:r w:rsidR="00281E7A">
              <w:rPr>
                <w:bCs/>
                <w:sz w:val="20"/>
                <w:szCs w:val="20"/>
              </w:rPr>
              <w:t>5</w:t>
            </w:r>
            <w:r w:rsidRPr="00517EF0">
              <w:rPr>
                <w:bCs/>
                <w:sz w:val="20"/>
                <w:szCs w:val="20"/>
              </w:rPr>
              <w:t>.</w:t>
            </w:r>
          </w:p>
          <w:p w14:paraId="2F8891D6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54F7D9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5928C5B" w14:textId="77777777" w:rsidR="003A55EE" w:rsidRPr="00517EF0" w:rsidRDefault="003A55EE" w:rsidP="003A55EE">
            <w:pPr>
              <w:rPr>
                <w:bCs/>
                <w:color w:val="FF0000"/>
                <w:sz w:val="20"/>
                <w:szCs w:val="20"/>
              </w:rPr>
            </w:pPr>
          </w:p>
          <w:p w14:paraId="121F723A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B6DD59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FA7D660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4D7F686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C19176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9A357A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A678DE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1BB624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CB73B8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C747BA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BB93B3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C22977B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561A4158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4849A9F4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4D09DF70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0ECDB7D0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4999B47A" w14:textId="77777777" w:rsidR="006237A9" w:rsidRDefault="006237A9" w:rsidP="003A55EE">
            <w:pPr>
              <w:rPr>
                <w:bCs/>
                <w:sz w:val="20"/>
                <w:szCs w:val="20"/>
              </w:rPr>
            </w:pPr>
          </w:p>
          <w:p w14:paraId="05115E2A" w14:textId="3E512232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lastRenderedPageBreak/>
              <w:t>OBRAZLOŽENJE IZVRŠENJA:</w:t>
            </w:r>
          </w:p>
          <w:p w14:paraId="06561C32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08460B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17F08F2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1871C28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750081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4543BB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E83CCF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15C33A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937099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F77402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CE588E9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CC243F1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3B51A3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5BC7E03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4B3B097D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32E7D66E" w14:textId="77777777" w:rsidR="00517EF0" w:rsidRDefault="00517EF0" w:rsidP="003A55EE">
            <w:pPr>
              <w:rPr>
                <w:bCs/>
                <w:sz w:val="20"/>
                <w:szCs w:val="20"/>
              </w:rPr>
            </w:pPr>
          </w:p>
          <w:p w14:paraId="30E38B89" w14:textId="6F95182C" w:rsidR="00C06390" w:rsidRDefault="00C06390" w:rsidP="003A55EE">
            <w:pPr>
              <w:rPr>
                <w:bCs/>
                <w:sz w:val="20"/>
                <w:szCs w:val="20"/>
              </w:rPr>
            </w:pPr>
          </w:p>
          <w:p w14:paraId="3AAC8460" w14:textId="77777777" w:rsidR="00AF02B0" w:rsidRDefault="00AF02B0" w:rsidP="003A55EE">
            <w:pPr>
              <w:rPr>
                <w:bCs/>
                <w:sz w:val="20"/>
                <w:szCs w:val="20"/>
              </w:rPr>
            </w:pPr>
          </w:p>
          <w:p w14:paraId="225A0D0E" w14:textId="075F325E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POKAZATELJI USPJEŠNOSTI:</w:t>
            </w:r>
          </w:p>
          <w:p w14:paraId="73B38FE6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AA46523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FC8CFDA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5DA936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D55622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FA46C7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1E2887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A9B337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F13744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8611D1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0A6C06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82FBAE1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A2141E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8EAE20F" w14:textId="77777777" w:rsidR="00A23EBA" w:rsidRDefault="00A23EBA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5EF45CB" w14:textId="77777777" w:rsidR="00A23EBA" w:rsidRDefault="00A23EBA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7556F9C" w14:textId="77777777" w:rsidR="00A23EBA" w:rsidRDefault="00A23EBA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3A79F0C" w14:textId="77777777" w:rsidR="008C6677" w:rsidRDefault="008C6677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292559F" w14:textId="2A0ABE58" w:rsidR="00C06390" w:rsidRDefault="00C06390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08D4E12" w14:textId="26E7B833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  <w:r w:rsidRPr="00517EF0">
              <w:rPr>
                <w:iCs/>
                <w:sz w:val="20"/>
                <w:szCs w:val="20"/>
              </w:rPr>
              <w:t>NAZIV PROGRAMA:</w:t>
            </w:r>
          </w:p>
          <w:p w14:paraId="77F90A03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8021080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723FB844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118D0AA2" w14:textId="77777777" w:rsidR="008C6677" w:rsidRDefault="008C6677" w:rsidP="003A55EE">
            <w:pPr>
              <w:rPr>
                <w:bCs/>
                <w:sz w:val="20"/>
                <w:szCs w:val="20"/>
              </w:rPr>
            </w:pPr>
          </w:p>
          <w:p w14:paraId="6ADD9B20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OPIS PROGRAMA, OPĆI I POSEBNI CILJEVI:</w:t>
            </w:r>
          </w:p>
          <w:p w14:paraId="52951642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3C83B0BA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31FA5BD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10261928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09FD0AD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E1538B7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F2DA356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614F962" w14:textId="77777777" w:rsidR="00276B5A" w:rsidRDefault="00276B5A" w:rsidP="003A55EE">
            <w:pPr>
              <w:rPr>
                <w:bCs/>
                <w:sz w:val="20"/>
                <w:szCs w:val="20"/>
              </w:rPr>
            </w:pPr>
          </w:p>
          <w:p w14:paraId="08FF6A7B" w14:textId="77777777" w:rsidR="00276B5A" w:rsidRDefault="00276B5A" w:rsidP="003A55EE">
            <w:pPr>
              <w:rPr>
                <w:bCs/>
                <w:sz w:val="20"/>
                <w:szCs w:val="20"/>
              </w:rPr>
            </w:pPr>
          </w:p>
          <w:p w14:paraId="4D4B9E48" w14:textId="77777777" w:rsidR="00276B5A" w:rsidRDefault="00276B5A" w:rsidP="003A55EE">
            <w:pPr>
              <w:rPr>
                <w:bCs/>
                <w:sz w:val="20"/>
                <w:szCs w:val="20"/>
              </w:rPr>
            </w:pPr>
          </w:p>
          <w:p w14:paraId="59C13BAA" w14:textId="77777777" w:rsidR="00276B5A" w:rsidRDefault="00276B5A" w:rsidP="003A55EE">
            <w:pPr>
              <w:rPr>
                <w:bCs/>
                <w:sz w:val="20"/>
                <w:szCs w:val="20"/>
              </w:rPr>
            </w:pPr>
          </w:p>
          <w:p w14:paraId="4E26DF13" w14:textId="77777777" w:rsidR="00276B5A" w:rsidRDefault="00276B5A" w:rsidP="003A55EE">
            <w:pPr>
              <w:rPr>
                <w:bCs/>
                <w:sz w:val="20"/>
                <w:szCs w:val="20"/>
              </w:rPr>
            </w:pPr>
          </w:p>
          <w:p w14:paraId="71BDAA25" w14:textId="0C8C948F" w:rsidR="00276B5A" w:rsidRDefault="00276B5A" w:rsidP="003A55EE">
            <w:pPr>
              <w:rPr>
                <w:bCs/>
                <w:sz w:val="20"/>
                <w:szCs w:val="20"/>
              </w:rPr>
            </w:pPr>
          </w:p>
          <w:p w14:paraId="7D933FF8" w14:textId="7F4AC03C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ZAKONSKA OSNOVA ZA UVOĐENJE PROGRAMA:</w:t>
            </w:r>
          </w:p>
          <w:p w14:paraId="1509FCF7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3B3A4A8D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464ACD40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3EB0FBC6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26B7A782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6EA1F220" w14:textId="77777777" w:rsidR="003A55EE" w:rsidRPr="00517EF0" w:rsidRDefault="003A55EE" w:rsidP="003A55EE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55D2B5E7" w14:textId="77777777" w:rsidR="003A55EE" w:rsidRPr="00517EF0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430439E6" w14:textId="77777777" w:rsidR="00C06390" w:rsidRDefault="00C06390" w:rsidP="003A55EE">
            <w:pPr>
              <w:rPr>
                <w:bCs/>
                <w:sz w:val="20"/>
                <w:szCs w:val="20"/>
              </w:rPr>
            </w:pPr>
          </w:p>
          <w:p w14:paraId="5C7C0BA2" w14:textId="082BE56E" w:rsidR="00AF02B0" w:rsidRDefault="00AF02B0" w:rsidP="003A55EE">
            <w:pPr>
              <w:rPr>
                <w:bCs/>
                <w:sz w:val="20"/>
                <w:szCs w:val="20"/>
              </w:rPr>
            </w:pPr>
          </w:p>
          <w:p w14:paraId="170D5846" w14:textId="76002874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7F1CDEBA" w14:textId="119977B0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479166FD" w14:textId="3028DFC3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2B1D0C3D" w14:textId="146B562E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74D5EA44" w14:textId="4D891E73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20620369" w14:textId="6B29A09E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40A9AAF0" w14:textId="480F8670" w:rsidR="0060565D" w:rsidRDefault="0060565D" w:rsidP="003A55EE">
            <w:pPr>
              <w:rPr>
                <w:bCs/>
                <w:sz w:val="20"/>
                <w:szCs w:val="20"/>
              </w:rPr>
            </w:pPr>
          </w:p>
          <w:p w14:paraId="2C0AE48D" w14:textId="4208F0AC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 xml:space="preserve">IZVRŠENJE 1. – </w:t>
            </w:r>
            <w:r w:rsidR="00765D13">
              <w:rPr>
                <w:bCs/>
                <w:sz w:val="20"/>
                <w:szCs w:val="20"/>
              </w:rPr>
              <w:t>0</w:t>
            </w:r>
            <w:r w:rsidR="00333CCD">
              <w:rPr>
                <w:bCs/>
                <w:sz w:val="20"/>
                <w:szCs w:val="20"/>
              </w:rPr>
              <w:t>6</w:t>
            </w:r>
            <w:r w:rsidRPr="00517EF0">
              <w:rPr>
                <w:bCs/>
                <w:sz w:val="20"/>
                <w:szCs w:val="20"/>
              </w:rPr>
              <w:t>. 202</w:t>
            </w:r>
            <w:r w:rsidR="0060565D">
              <w:rPr>
                <w:bCs/>
                <w:sz w:val="20"/>
                <w:szCs w:val="20"/>
              </w:rPr>
              <w:t>5</w:t>
            </w:r>
            <w:r w:rsidRPr="00517EF0">
              <w:rPr>
                <w:bCs/>
                <w:sz w:val="20"/>
                <w:szCs w:val="20"/>
              </w:rPr>
              <w:t>.</w:t>
            </w:r>
          </w:p>
          <w:p w14:paraId="38EEC9AB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BBB73C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1562850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1553851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D5E3831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29E958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8DC4126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4BC4378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575256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A283C2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498814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9A55EB6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282F29A3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345D0A90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706B0090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540194BD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5BB3FD63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230C99EE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357A0692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255AD0FA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280FDAAB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03448F6B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783E9F4F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157296AF" w14:textId="77777777" w:rsidR="00A23EBA" w:rsidRDefault="00A23EBA" w:rsidP="003A55EE">
            <w:pPr>
              <w:rPr>
                <w:bCs/>
                <w:sz w:val="20"/>
                <w:szCs w:val="20"/>
              </w:rPr>
            </w:pPr>
          </w:p>
          <w:p w14:paraId="13D5EC03" w14:textId="77777777" w:rsidR="00A4401B" w:rsidRDefault="00A4401B" w:rsidP="003A55EE">
            <w:pPr>
              <w:rPr>
                <w:bCs/>
                <w:sz w:val="20"/>
                <w:szCs w:val="20"/>
              </w:rPr>
            </w:pPr>
          </w:p>
          <w:p w14:paraId="52C42A84" w14:textId="77777777" w:rsidR="00A4401B" w:rsidRDefault="00A4401B" w:rsidP="003A55EE">
            <w:pPr>
              <w:rPr>
                <w:bCs/>
                <w:sz w:val="20"/>
                <w:szCs w:val="20"/>
              </w:rPr>
            </w:pPr>
          </w:p>
          <w:p w14:paraId="680B813A" w14:textId="6BCDD729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OBRAZLOŽENJE IZVRŠENJA:</w:t>
            </w:r>
          </w:p>
          <w:p w14:paraId="1C697D1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5F1A2B8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1FC36DF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3D1F488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89EF86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5AD1A2E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3CD23379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70D7DD9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BA1E652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D0D8E43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6C177C33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66A747F2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5C835292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65A29FAA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2711AAA2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050151CA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32D0DF2E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56A083E2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2D0E39D8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1569A027" w14:textId="77777777" w:rsidR="0081304D" w:rsidRDefault="0081304D" w:rsidP="003A55EE">
            <w:pPr>
              <w:rPr>
                <w:bCs/>
                <w:sz w:val="20"/>
                <w:szCs w:val="20"/>
              </w:rPr>
            </w:pPr>
          </w:p>
          <w:p w14:paraId="5C04A4E4" w14:textId="15CDDB7A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POKAZATELJI USPJEŠNOSTI:</w:t>
            </w:r>
          </w:p>
          <w:p w14:paraId="39369C1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F0FE3D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FA4B11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C2B3858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711D5225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CE54EE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410B854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207C4223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5A02077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1AE53667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6664BC8C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41A22A5D" w14:textId="77777777" w:rsidR="003A55EE" w:rsidRPr="00517EF0" w:rsidRDefault="003A55EE" w:rsidP="003A55EE">
            <w:pPr>
              <w:rPr>
                <w:bCs/>
                <w:sz w:val="20"/>
                <w:szCs w:val="20"/>
              </w:rPr>
            </w:pPr>
          </w:p>
          <w:p w14:paraId="05401405" w14:textId="77777777" w:rsidR="003A55EE" w:rsidRDefault="003A55EE" w:rsidP="003A55EE">
            <w:pPr>
              <w:rPr>
                <w:bCs/>
                <w:sz w:val="20"/>
                <w:szCs w:val="20"/>
              </w:rPr>
            </w:pPr>
          </w:p>
          <w:p w14:paraId="064CBC51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48E12141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7FC58C6E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58A965A6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75AD7DB9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1BBD1C0B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40E992F6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5BB7AD59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30822233" w14:textId="77777777" w:rsidR="00D8288B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0B66C377" w14:textId="77777777" w:rsidR="00D8288B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006563E8" w14:textId="77777777" w:rsidR="00D8288B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4CB66D2F" w14:textId="77777777" w:rsidR="00D8288B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0D877CDE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  <w:r w:rsidRPr="00517EF0">
              <w:rPr>
                <w:iCs/>
                <w:sz w:val="20"/>
                <w:szCs w:val="20"/>
              </w:rPr>
              <w:t>NAZIV PROGRAMA:</w:t>
            </w:r>
          </w:p>
          <w:p w14:paraId="21CE1BE1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B10484C" w14:textId="77777777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3AB28957" w14:textId="77777777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6E4BA0A6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OPIS PROGRAMA, OPĆI I POSEBNI CILJEVI:</w:t>
            </w:r>
          </w:p>
          <w:p w14:paraId="665EFC89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650AF3E7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03BC07A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3F54072D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15A410C2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6770D1EF" w14:textId="181ED833" w:rsidR="00D8288B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7258E5F5" w14:textId="577ACDA5" w:rsidR="0060565D" w:rsidRDefault="0060565D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1D3008E3" w14:textId="56D1AD0D" w:rsidR="0060565D" w:rsidRDefault="0060565D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44E8BB97" w14:textId="77777777" w:rsidR="0060565D" w:rsidRPr="00517EF0" w:rsidRDefault="0060565D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6E32B555" w14:textId="77777777" w:rsidR="00D8288B" w:rsidRDefault="00D8288B" w:rsidP="00D8288B">
            <w:pPr>
              <w:rPr>
                <w:szCs w:val="20"/>
              </w:rPr>
            </w:pPr>
          </w:p>
          <w:p w14:paraId="2A637338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lastRenderedPageBreak/>
              <w:t>ZAKONSKA OSNOVA ZA UVOĐENJE PROGRAMA:</w:t>
            </w:r>
          </w:p>
          <w:p w14:paraId="4447F034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16D6D1F6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4A418064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4DE754BE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3EAAE3C0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3CF017B7" w14:textId="77777777" w:rsidR="00D8288B" w:rsidRPr="00517EF0" w:rsidRDefault="00D8288B" w:rsidP="00D8288B">
            <w:pPr>
              <w:keepNext/>
              <w:jc w:val="both"/>
              <w:outlineLvl w:val="0"/>
              <w:rPr>
                <w:iCs/>
                <w:sz w:val="20"/>
                <w:szCs w:val="20"/>
              </w:rPr>
            </w:pPr>
          </w:p>
          <w:p w14:paraId="61CA8E96" w14:textId="77777777" w:rsidR="00D8288B" w:rsidRPr="00517EF0" w:rsidRDefault="00D8288B" w:rsidP="00D8288B">
            <w:pPr>
              <w:jc w:val="both"/>
              <w:rPr>
                <w:bCs/>
                <w:sz w:val="20"/>
                <w:szCs w:val="20"/>
              </w:rPr>
            </w:pPr>
          </w:p>
          <w:p w14:paraId="32CCF8CB" w14:textId="77777777" w:rsidR="00D8288B" w:rsidRPr="00517EF0" w:rsidRDefault="00D8288B" w:rsidP="00D8288B">
            <w:pPr>
              <w:jc w:val="both"/>
              <w:rPr>
                <w:bCs/>
                <w:sz w:val="20"/>
                <w:szCs w:val="20"/>
              </w:rPr>
            </w:pPr>
          </w:p>
          <w:p w14:paraId="7C715796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233A1F83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07D7AE8C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784FEF0C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2D92966C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BA178D6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1117D6DE" w14:textId="77777777" w:rsidR="0081304D" w:rsidRDefault="0081304D" w:rsidP="00D8288B">
            <w:pPr>
              <w:rPr>
                <w:bCs/>
                <w:sz w:val="20"/>
                <w:szCs w:val="20"/>
              </w:rPr>
            </w:pPr>
          </w:p>
          <w:p w14:paraId="2CA58E26" w14:textId="6F651306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 xml:space="preserve">IZVRŠENJE 1. – </w:t>
            </w:r>
            <w:r w:rsidR="00DD6CD8">
              <w:rPr>
                <w:bCs/>
                <w:sz w:val="20"/>
                <w:szCs w:val="20"/>
              </w:rPr>
              <w:t>06</w:t>
            </w:r>
            <w:r w:rsidRPr="00517EF0">
              <w:rPr>
                <w:bCs/>
                <w:sz w:val="20"/>
                <w:szCs w:val="20"/>
              </w:rPr>
              <w:t>. 202</w:t>
            </w:r>
            <w:r w:rsidR="0060565D">
              <w:rPr>
                <w:bCs/>
                <w:sz w:val="20"/>
                <w:szCs w:val="20"/>
              </w:rPr>
              <w:t>5</w:t>
            </w:r>
            <w:r w:rsidRPr="00517EF0">
              <w:rPr>
                <w:bCs/>
                <w:sz w:val="20"/>
                <w:szCs w:val="20"/>
              </w:rPr>
              <w:t>.</w:t>
            </w:r>
          </w:p>
          <w:p w14:paraId="664B0A90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7E13072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450C621A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071C4D60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3D10BC1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5BCC793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164131CA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5E1FCEA0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0546AB77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032CB7D2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594A09E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11E2C97C" w14:textId="77777777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44585CBC" w14:textId="00155D9E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4EB51498" w14:textId="13E3ECC8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29FF6270" w14:textId="45703BDA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7DB4F9E0" w14:textId="22E304DB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7A3E1069" w14:textId="3A087798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71E0C7F9" w14:textId="57649FC8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4A528D1A" w14:textId="5BFC094B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6EFD5CD5" w14:textId="08DF4860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78E83B0D" w14:textId="002E5A10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0D41C081" w14:textId="2E82BA2E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56A3E0C5" w14:textId="77777777" w:rsidR="0060565D" w:rsidRDefault="0060565D" w:rsidP="00D8288B">
            <w:pPr>
              <w:rPr>
                <w:bCs/>
                <w:sz w:val="20"/>
                <w:szCs w:val="20"/>
              </w:rPr>
            </w:pPr>
          </w:p>
          <w:p w14:paraId="58A82CC3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OBRAZLOŽENJE IZVRŠENJA:</w:t>
            </w:r>
          </w:p>
          <w:p w14:paraId="46CA295A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54A14CD8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4B0DCA91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B20FD2E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B9DCC1D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1FAC5EDC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32BFEE2C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0820D612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6EC119F9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</w:p>
          <w:p w14:paraId="010E5075" w14:textId="77777777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1D315AAB" w14:textId="77777777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09701483" w14:textId="77777777" w:rsidR="00D8288B" w:rsidRDefault="00D8288B" w:rsidP="00D8288B">
            <w:pPr>
              <w:rPr>
                <w:bCs/>
                <w:sz w:val="20"/>
                <w:szCs w:val="20"/>
              </w:rPr>
            </w:pPr>
          </w:p>
          <w:p w14:paraId="2BCFA205" w14:textId="77777777" w:rsidR="00400281" w:rsidRDefault="00400281" w:rsidP="00D8288B">
            <w:pPr>
              <w:rPr>
                <w:bCs/>
                <w:sz w:val="20"/>
                <w:szCs w:val="20"/>
              </w:rPr>
            </w:pPr>
          </w:p>
          <w:p w14:paraId="57877364" w14:textId="77777777" w:rsidR="00400281" w:rsidRDefault="00400281" w:rsidP="00D8288B">
            <w:pPr>
              <w:rPr>
                <w:bCs/>
                <w:sz w:val="20"/>
                <w:szCs w:val="20"/>
              </w:rPr>
            </w:pPr>
          </w:p>
          <w:p w14:paraId="0262B629" w14:textId="77777777" w:rsidR="00400281" w:rsidRDefault="00400281" w:rsidP="00D8288B">
            <w:pPr>
              <w:rPr>
                <w:bCs/>
                <w:sz w:val="20"/>
                <w:szCs w:val="20"/>
              </w:rPr>
            </w:pPr>
          </w:p>
          <w:p w14:paraId="6A941DC2" w14:textId="77777777" w:rsidR="00D8288B" w:rsidRPr="00517EF0" w:rsidRDefault="00D8288B" w:rsidP="00D8288B">
            <w:pPr>
              <w:rPr>
                <w:bCs/>
                <w:sz w:val="20"/>
                <w:szCs w:val="20"/>
              </w:rPr>
            </w:pPr>
            <w:r w:rsidRPr="00517EF0">
              <w:rPr>
                <w:bCs/>
                <w:sz w:val="20"/>
                <w:szCs w:val="20"/>
              </w:rPr>
              <w:t>POKAZATELJI USPJEŠNOSTI:</w:t>
            </w:r>
          </w:p>
          <w:p w14:paraId="4F469B3B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62BDF4A8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2C5FC326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70CE54C8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36975D8A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67EC4BBA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6F21FB2E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05AE0109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7F6A6A57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307E9506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0327E61E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2CB3C5B2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07B40B5F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2124ED7E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20B7B42C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4287B4B5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6B2C4A7C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1D3262DF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3107C72D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1270CBBD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0C44C298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44E9E5C9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5C211C12" w14:textId="77777777" w:rsidR="00D8288B" w:rsidRDefault="00D8288B" w:rsidP="003A55EE">
            <w:pPr>
              <w:rPr>
                <w:bCs/>
                <w:sz w:val="20"/>
                <w:szCs w:val="20"/>
              </w:rPr>
            </w:pPr>
          </w:p>
          <w:p w14:paraId="7D3EC663" w14:textId="77777777" w:rsidR="00D8288B" w:rsidRPr="00517EF0" w:rsidRDefault="00D8288B" w:rsidP="003A55EE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4DBAB9" w14:textId="77777777" w:rsidR="003A55EE" w:rsidRPr="00517EF0" w:rsidRDefault="003A55EE" w:rsidP="003A55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147A9" w14:textId="77777777" w:rsidR="003A55EE" w:rsidRPr="0081304D" w:rsidRDefault="003A55EE" w:rsidP="003A55EE">
            <w:pPr>
              <w:jc w:val="both"/>
              <w:rPr>
                <w:b/>
              </w:rPr>
            </w:pPr>
            <w:r w:rsidRPr="0081304D">
              <w:rPr>
                <w:b/>
                <w:caps/>
              </w:rPr>
              <w:t>1207 RAZVOJ ODGOJNO-OBRAZOVNOG SUSTAVA</w:t>
            </w:r>
          </w:p>
          <w:p w14:paraId="3527135C" w14:textId="77777777" w:rsidR="003A55EE" w:rsidRPr="0081304D" w:rsidRDefault="003A55EE" w:rsidP="003A55EE">
            <w:pPr>
              <w:jc w:val="both"/>
              <w:rPr>
                <w:i/>
              </w:rPr>
            </w:pPr>
          </w:p>
          <w:p w14:paraId="371E78BB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270A5C47" w14:textId="57B5A5ED" w:rsidR="00517EF0" w:rsidRPr="0081304D" w:rsidRDefault="00517EF0" w:rsidP="00517EF0">
            <w:pPr>
              <w:shd w:val="clear" w:color="auto" w:fill="FFFFFF"/>
              <w:spacing w:after="384" w:line="276" w:lineRule="auto"/>
            </w:pPr>
            <w:r w:rsidRPr="0081304D">
              <w:t xml:space="preserve">Program se sastoji od </w:t>
            </w:r>
            <w:r w:rsidR="00EE2CD2" w:rsidRPr="0081304D">
              <w:t>četiri</w:t>
            </w:r>
            <w:r w:rsidRPr="0081304D">
              <w:t xml:space="preserve"> projekta/aktivnosti: Sufinanciranje obavezne školske lektire, Shema-voće, povrće i mlijeko</w:t>
            </w:r>
            <w:r w:rsidR="00EE2CD2" w:rsidRPr="0081304D">
              <w:t xml:space="preserve">, </w:t>
            </w:r>
            <w:r w:rsidR="00281E7A">
              <w:t>Sufinanciranje aktivnosti u odgoju i obrazovanju</w:t>
            </w:r>
            <w:r w:rsidRPr="0081304D">
              <w:t>. (Zimska kreativna škola „Graditelji“ i Međunarodna ljetna škola hrvatskoga jezika i kulture „Faust Vrančić“)</w:t>
            </w:r>
            <w:r w:rsidR="00EE2CD2" w:rsidRPr="0081304D">
              <w:t xml:space="preserve"> te </w:t>
            </w:r>
            <w:r w:rsidR="00866886">
              <w:t>Sajam zanimanja</w:t>
            </w:r>
            <w:r w:rsidR="00EE2CD2" w:rsidRPr="0081304D">
              <w:t>.</w:t>
            </w:r>
          </w:p>
          <w:p w14:paraId="5382C810" w14:textId="77777777" w:rsidR="00517EF0" w:rsidRPr="0081304D" w:rsidRDefault="00517EF0" w:rsidP="00517EF0">
            <w:pPr>
              <w:shd w:val="clear" w:color="auto" w:fill="FFFFFF"/>
              <w:spacing w:after="384" w:line="276" w:lineRule="auto"/>
            </w:pPr>
            <w:r w:rsidRPr="0081304D">
              <w:t xml:space="preserve">Uz opremanje knjižnice obveznim </w:t>
            </w:r>
            <w:proofErr w:type="spellStart"/>
            <w:r w:rsidRPr="0081304D">
              <w:t>lektirnim</w:t>
            </w:r>
            <w:proofErr w:type="spellEnd"/>
            <w:r w:rsidRPr="0081304D">
              <w:t xml:space="preserve"> dijelima ali i stručnom literaturom omogućuje se i učenicima i djelatnicima škole kvalitetnije pripremanje za nastavu i državnu maturu ali i individualno usavršavanje profesora.</w:t>
            </w:r>
          </w:p>
          <w:p w14:paraId="5B41F776" w14:textId="5733352A" w:rsidR="00517EF0" w:rsidRPr="0081304D" w:rsidRDefault="00517EF0" w:rsidP="00517EF0">
            <w:pPr>
              <w:shd w:val="clear" w:color="auto" w:fill="FFFFFF"/>
              <w:spacing w:after="384" w:line="276" w:lineRule="auto"/>
            </w:pPr>
            <w:r w:rsidRPr="0081304D">
              <w:t xml:space="preserve"> Broj učenika kojima je osigurano voće je </w:t>
            </w:r>
            <w:r w:rsidR="00866886">
              <w:t>394</w:t>
            </w:r>
            <w:r w:rsidRPr="0081304D">
              <w:t>.  Republika Hrvatska nastavlja provedbu školske sheme odnosno dodjelu besplatnih obroka voća, povrća, mlijeka i mliječnih proizvoda te edukativne aktivnosti za djecu u osnovnim i srednjim školama s ciljem:</w:t>
            </w:r>
          </w:p>
          <w:p w14:paraId="0CBF480E" w14:textId="77777777" w:rsidR="00517EF0" w:rsidRPr="0081304D" w:rsidRDefault="00517EF0" w:rsidP="00517EF0">
            <w:pPr>
              <w:numPr>
                <w:ilvl w:val="0"/>
                <w:numId w:val="2"/>
              </w:numPr>
              <w:spacing w:line="276" w:lineRule="auto"/>
              <w:textAlignment w:val="baseline"/>
            </w:pPr>
            <w:r w:rsidRPr="0081304D">
              <w:t>povećanja unosa svježeg voća i povrća te mlijeka i mliječnih proizvoda te smanjenja unosa hrane s visokim sadržajem masti, šećera i soli u svakodnevnoj prehrani učenika,</w:t>
            </w:r>
          </w:p>
          <w:p w14:paraId="213C00ED" w14:textId="77777777" w:rsidR="00517EF0" w:rsidRPr="0081304D" w:rsidRDefault="00517EF0" w:rsidP="00517EF0">
            <w:pPr>
              <w:numPr>
                <w:ilvl w:val="0"/>
                <w:numId w:val="2"/>
              </w:numPr>
              <w:spacing w:line="276" w:lineRule="auto"/>
              <w:textAlignment w:val="baseline"/>
            </w:pPr>
            <w:r w:rsidRPr="0081304D">
              <w:t>podizanja razine znanja o važnosti zdrave prehrane i nutritivnim vrijednostima svježeg voća i povrća te mlijeka  i mliječnih proizvoda i</w:t>
            </w:r>
          </w:p>
          <w:p w14:paraId="15FC54A6" w14:textId="77777777" w:rsidR="00517EF0" w:rsidRPr="0081304D" w:rsidRDefault="00517EF0" w:rsidP="00517EF0">
            <w:pPr>
              <w:numPr>
                <w:ilvl w:val="0"/>
                <w:numId w:val="2"/>
              </w:numPr>
              <w:spacing w:line="276" w:lineRule="auto"/>
              <w:textAlignment w:val="baseline"/>
            </w:pPr>
            <w:r w:rsidRPr="0081304D">
              <w:t>edukacije učenika u cilju smanjenja otpada od hrane.</w:t>
            </w:r>
          </w:p>
          <w:p w14:paraId="0C4821E6" w14:textId="77777777" w:rsidR="00517EF0" w:rsidRPr="0081304D" w:rsidRDefault="00517EF0" w:rsidP="00517EF0">
            <w:pPr>
              <w:spacing w:line="276" w:lineRule="auto"/>
              <w:textAlignment w:val="baseline"/>
              <w:rPr>
                <w:color w:val="222222"/>
                <w:shd w:val="clear" w:color="auto" w:fill="FFFFFF"/>
              </w:rPr>
            </w:pPr>
          </w:p>
          <w:p w14:paraId="464933DE" w14:textId="61D65BA5" w:rsidR="00517EF0" w:rsidRPr="0081304D" w:rsidRDefault="00517EF0" w:rsidP="00517EF0">
            <w:pPr>
              <w:spacing w:line="276" w:lineRule="auto"/>
              <w:textAlignment w:val="baseline"/>
              <w:rPr>
                <w:color w:val="222222"/>
                <w:shd w:val="clear" w:color="auto" w:fill="FFFFFF"/>
              </w:rPr>
            </w:pPr>
            <w:r w:rsidRPr="0081304D">
              <w:rPr>
                <w:color w:val="222222"/>
                <w:shd w:val="clear" w:color="auto" w:fill="FFFFFF"/>
              </w:rPr>
              <w:t xml:space="preserve">Početkom </w:t>
            </w:r>
            <w:r w:rsidR="00EE2CD2" w:rsidRPr="0081304D">
              <w:rPr>
                <w:color w:val="222222"/>
                <w:shd w:val="clear" w:color="auto" w:fill="FFFFFF"/>
              </w:rPr>
              <w:t xml:space="preserve">godine </w:t>
            </w:r>
            <w:r w:rsidRPr="0081304D">
              <w:rPr>
                <w:color w:val="222222"/>
                <w:shd w:val="clear" w:color="auto" w:fill="FFFFFF"/>
              </w:rPr>
              <w:t xml:space="preserve">u školi </w:t>
            </w:r>
            <w:r w:rsidR="00EE2CD2" w:rsidRPr="0081304D">
              <w:rPr>
                <w:color w:val="222222"/>
                <w:shd w:val="clear" w:color="auto" w:fill="FFFFFF"/>
              </w:rPr>
              <w:t>je održana</w:t>
            </w:r>
            <w:r w:rsidR="00281E7A">
              <w:rPr>
                <w:color w:val="222222"/>
                <w:shd w:val="clear" w:color="auto" w:fill="FFFFFF"/>
              </w:rPr>
              <w:t xml:space="preserve"> 5</w:t>
            </w:r>
            <w:r w:rsidRPr="0081304D">
              <w:rPr>
                <w:color w:val="222222"/>
                <w:shd w:val="clear" w:color="auto" w:fill="FFFFFF"/>
              </w:rPr>
              <w:t>. Zimska kreativna škola “Graditelji”. U dvanaest radionica</w:t>
            </w:r>
            <w:r w:rsidR="00EE2CD2" w:rsidRPr="0081304D">
              <w:rPr>
                <w:color w:val="222222"/>
                <w:shd w:val="clear" w:color="auto" w:fill="FFFFFF"/>
              </w:rPr>
              <w:t xml:space="preserve"> sudjelovali su</w:t>
            </w:r>
            <w:r w:rsidRPr="0081304D">
              <w:rPr>
                <w:color w:val="222222"/>
                <w:shd w:val="clear" w:color="auto" w:fill="FFFFFF"/>
              </w:rPr>
              <w:t xml:space="preserve"> učenici osnovnih i srednjih škola te djeca iz osječkih vrtića. Dvadesetak učenika volontera i desetak djelatnika škole poma</w:t>
            </w:r>
            <w:r w:rsidR="00EE2CD2" w:rsidRPr="0081304D">
              <w:rPr>
                <w:color w:val="222222"/>
                <w:shd w:val="clear" w:color="auto" w:fill="FFFFFF"/>
              </w:rPr>
              <w:t xml:space="preserve">galo je </w:t>
            </w:r>
            <w:r w:rsidRPr="0081304D">
              <w:rPr>
                <w:color w:val="222222"/>
                <w:shd w:val="clear" w:color="auto" w:fill="FFFFFF"/>
              </w:rPr>
              <w:t xml:space="preserve">u radionicama i organizaciji provedbi škole. Cilj projekta je </w:t>
            </w:r>
            <w:r w:rsidR="00EE2CD2" w:rsidRPr="0081304D">
              <w:rPr>
                <w:color w:val="222222"/>
                <w:shd w:val="clear" w:color="auto" w:fill="FFFFFF"/>
              </w:rPr>
              <w:t xml:space="preserve">bio </w:t>
            </w:r>
            <w:r w:rsidRPr="0081304D">
              <w:t>promocija škole, poticanje stvaralaštva mladih te poticanje suradništva.</w:t>
            </w:r>
          </w:p>
          <w:p w14:paraId="0157B826" w14:textId="77777777" w:rsidR="00517EF0" w:rsidRPr="0081304D" w:rsidRDefault="00517EF0" w:rsidP="00517EF0">
            <w:pPr>
              <w:spacing w:line="276" w:lineRule="auto"/>
              <w:textAlignment w:val="baseline"/>
              <w:rPr>
                <w:color w:val="222222"/>
                <w:shd w:val="clear" w:color="auto" w:fill="FFFFFF"/>
              </w:rPr>
            </w:pPr>
          </w:p>
          <w:p w14:paraId="1D403DE2" w14:textId="591425C9" w:rsidR="00517EF0" w:rsidRPr="0081304D" w:rsidRDefault="00517EF0" w:rsidP="00517EF0">
            <w:pPr>
              <w:spacing w:line="276" w:lineRule="auto"/>
              <w:textAlignment w:val="baseline"/>
              <w:rPr>
                <w:iCs/>
                <w:color w:val="000000"/>
                <w:shd w:val="clear" w:color="auto" w:fill="FFFFFF"/>
              </w:rPr>
            </w:pPr>
            <w:r w:rsidRPr="0081304D">
              <w:rPr>
                <w:iCs/>
                <w:color w:val="000000"/>
                <w:shd w:val="clear" w:color="auto" w:fill="FFFFFF"/>
              </w:rPr>
              <w:t>Međunarodna ljetna škola hrvatskoga jezika i kulture „Faust Vrančić“ za srednjoškolce iz domovinske i iseljene Hrvatske održ</w:t>
            </w:r>
            <w:r w:rsidR="00EE2CD2" w:rsidRPr="0081304D">
              <w:rPr>
                <w:iCs/>
                <w:color w:val="000000"/>
                <w:shd w:val="clear" w:color="auto" w:fill="FFFFFF"/>
              </w:rPr>
              <w:t xml:space="preserve">ana je od </w:t>
            </w:r>
            <w:r w:rsidR="007867AB">
              <w:rPr>
                <w:iCs/>
                <w:color w:val="000000"/>
                <w:shd w:val="clear" w:color="auto" w:fill="FFFFFF"/>
              </w:rPr>
              <w:t>16</w:t>
            </w:r>
            <w:r w:rsidR="00EE2CD2" w:rsidRPr="0081304D">
              <w:rPr>
                <w:iCs/>
                <w:color w:val="000000"/>
                <w:shd w:val="clear" w:color="auto" w:fill="FFFFFF"/>
              </w:rPr>
              <w:t xml:space="preserve">.06. do </w:t>
            </w:r>
            <w:r w:rsidR="007867AB">
              <w:rPr>
                <w:iCs/>
                <w:color w:val="000000"/>
                <w:shd w:val="clear" w:color="auto" w:fill="FFFFFF"/>
              </w:rPr>
              <w:t>22.</w:t>
            </w:r>
            <w:r w:rsidR="00EE2CD2" w:rsidRPr="0081304D">
              <w:rPr>
                <w:iCs/>
                <w:color w:val="000000"/>
                <w:shd w:val="clear" w:color="auto" w:fill="FFFFFF"/>
              </w:rPr>
              <w:t>0</w:t>
            </w:r>
            <w:r w:rsidR="007867AB">
              <w:rPr>
                <w:iCs/>
                <w:color w:val="000000"/>
                <w:shd w:val="clear" w:color="auto" w:fill="FFFFFF"/>
              </w:rPr>
              <w:t>6</w:t>
            </w:r>
            <w:r w:rsidR="00EE2CD2" w:rsidRPr="0081304D">
              <w:rPr>
                <w:iCs/>
                <w:color w:val="000000"/>
                <w:shd w:val="clear" w:color="auto" w:fill="FFFFFF"/>
              </w:rPr>
              <w:t>.202</w:t>
            </w:r>
            <w:r w:rsidR="007867AB">
              <w:rPr>
                <w:iCs/>
                <w:color w:val="000000"/>
                <w:shd w:val="clear" w:color="auto" w:fill="FFFFFF"/>
              </w:rPr>
              <w:t>4</w:t>
            </w:r>
            <w:r w:rsidR="00EE2CD2" w:rsidRPr="0081304D">
              <w:rPr>
                <w:iCs/>
                <w:color w:val="000000"/>
                <w:shd w:val="clear" w:color="auto" w:fill="FFFFFF"/>
              </w:rPr>
              <w:t xml:space="preserve">. </w:t>
            </w:r>
            <w:r w:rsidRPr="0081304D">
              <w:rPr>
                <w:iCs/>
                <w:color w:val="000000"/>
                <w:shd w:val="clear" w:color="auto" w:fill="FFFFFF"/>
              </w:rPr>
              <w:t>na otoku Prviću. a pokroviteljstvo su preuzeli Osječko-baranjska županija, Đakovačko-osječka nadbiskupija i Šibenska biskupija. Boravak i cjelokupna nastava odvijala se u samostanu Gospe od Milosti.</w:t>
            </w:r>
          </w:p>
          <w:p w14:paraId="4492C3CB" w14:textId="77777777" w:rsidR="00517EF0" w:rsidRPr="0081304D" w:rsidRDefault="00517EF0" w:rsidP="00517EF0">
            <w:pPr>
              <w:shd w:val="clear" w:color="auto" w:fill="FFFFFF"/>
              <w:spacing w:line="276" w:lineRule="auto"/>
            </w:pPr>
            <w:r w:rsidRPr="0081304D">
              <w:t>Projektom se potiče razvijanje  individualnih  umjetničkih  i kulturnih kompetencija mladih  te  sprječavanje  njihova antisocijalnog ponašanja, poticanje  mladih  na  umjetničko  izražavanje  i stvaralaštvo čime se vrši pozitivan utjecaj umjetnosti na socijalno okruženje,</w:t>
            </w:r>
          </w:p>
          <w:p w14:paraId="4D6E2D08" w14:textId="77777777" w:rsidR="00517EF0" w:rsidRPr="0081304D" w:rsidRDefault="00517EF0" w:rsidP="00517EF0">
            <w:pPr>
              <w:shd w:val="clear" w:color="auto" w:fill="FFFFFF"/>
              <w:spacing w:line="276" w:lineRule="auto"/>
            </w:pPr>
            <w:r w:rsidRPr="0081304D">
              <w:t xml:space="preserve">razvijanje i stjecanje socijalnih znanja i vještina mladih, čime se postiže njihova bolja integracija u društvo, poboljšanje položaja mladih u društvu, posebno mladih  u  nepovoljnom  položaju,  kroz  njihovo uključivanje u </w:t>
            </w:r>
            <w:r w:rsidRPr="0081304D">
              <w:lastRenderedPageBreak/>
              <w:t>umjetničkim i kulturnim aktivnostima, prijenos i razmjena znanja i vještina iz područja umjetnosti i kulture kroz među vršnjačko</w:t>
            </w:r>
          </w:p>
          <w:p w14:paraId="16C26BD1" w14:textId="7786C4DF" w:rsidR="00517EF0" w:rsidRDefault="00517EF0" w:rsidP="00517EF0">
            <w:pPr>
              <w:shd w:val="clear" w:color="auto" w:fill="FFFFFF"/>
              <w:spacing w:line="276" w:lineRule="auto"/>
            </w:pPr>
            <w:r w:rsidRPr="0081304D">
              <w:t>poučavanje i učenje.</w:t>
            </w:r>
          </w:p>
          <w:p w14:paraId="083B897D" w14:textId="6F16383B" w:rsidR="00281E7A" w:rsidRDefault="00281E7A" w:rsidP="00517EF0">
            <w:pPr>
              <w:shd w:val="clear" w:color="auto" w:fill="FFFFFF"/>
              <w:spacing w:line="276" w:lineRule="auto"/>
            </w:pPr>
          </w:p>
          <w:p w14:paraId="427815A3" w14:textId="2A105E76" w:rsidR="00281E7A" w:rsidRPr="0081304D" w:rsidRDefault="00281E7A" w:rsidP="00517EF0">
            <w:pPr>
              <w:shd w:val="clear" w:color="auto" w:fill="FFFFFF"/>
              <w:spacing w:line="276" w:lineRule="auto"/>
            </w:pPr>
            <w:r>
              <w:t xml:space="preserve">Cilj sajma je potaknuti interes kod djece i mladih za bavljenje tehničkom kulturom i znanošću iz STEM područja. Namijenjen je djeci i mladima, od početnika koji će se tek odvažiti baviti tehnikom i ovladati vještinama početne tehničko-tehnološke pismenosti, preko polaznika koji žele proširiti svoje znanje i usvojiti napredne vještine, pa do stručnih osoba i pedagoga kojima su STEM znanosti i tehnička kultura profesionalni izbor. Županija će financirati prijevoz učenika. </w:t>
            </w:r>
          </w:p>
          <w:p w14:paraId="3BAEF795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425CF3FC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0308D0C2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043D5D86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41399641" w14:textId="77777777" w:rsidR="00517EF0" w:rsidRPr="0081304D" w:rsidRDefault="003A55EE" w:rsidP="00517EF0">
            <w:pPr>
              <w:pStyle w:val="Odlomakpopisa"/>
              <w:numPr>
                <w:ilvl w:val="0"/>
                <w:numId w:val="3"/>
              </w:numPr>
            </w:pPr>
            <w:r w:rsidRPr="0081304D">
              <w:rPr>
                <w:sz w:val="20"/>
                <w:szCs w:val="20"/>
              </w:rPr>
              <w:t xml:space="preserve"> </w:t>
            </w:r>
            <w:r w:rsidR="00517EF0" w:rsidRPr="0081304D">
              <w:t xml:space="preserve">Zakon o lokalnoj i područnoj (regionalnoj) samoupravi </w:t>
            </w:r>
          </w:p>
          <w:p w14:paraId="59460B67" w14:textId="77777777" w:rsidR="00517EF0" w:rsidRPr="0081304D" w:rsidRDefault="00517EF0" w:rsidP="00517EF0">
            <w:pPr>
              <w:pStyle w:val="Odlomakpopisa"/>
              <w:numPr>
                <w:ilvl w:val="0"/>
                <w:numId w:val="3"/>
              </w:numPr>
            </w:pPr>
            <w:r w:rsidRPr="0081304D">
              <w:t>Zakon o odgoju i obrazovanju u osnovnoj i srednjoj školi</w:t>
            </w:r>
          </w:p>
          <w:p w14:paraId="6F304A21" w14:textId="77777777" w:rsidR="00517EF0" w:rsidRPr="0081304D" w:rsidRDefault="00517EF0" w:rsidP="00517EF0">
            <w:pPr>
              <w:pStyle w:val="Odlomakpopisa"/>
              <w:numPr>
                <w:ilvl w:val="0"/>
                <w:numId w:val="3"/>
              </w:numPr>
              <w:rPr>
                <w:bCs/>
              </w:rPr>
            </w:pPr>
            <w:r w:rsidRPr="0081304D">
              <w:rPr>
                <w:bCs/>
              </w:rPr>
              <w:t>Preporuke i upute Hrvatskoga zavoda za javno zdravstvo i Ministarstvo znanosti i obrazovanja</w:t>
            </w:r>
          </w:p>
          <w:p w14:paraId="2A98BA6B" w14:textId="495984F3" w:rsidR="00517EF0" w:rsidRPr="0081304D" w:rsidRDefault="00517EF0" w:rsidP="00517EF0">
            <w:pPr>
              <w:pStyle w:val="Odlomakpopisa"/>
              <w:numPr>
                <w:ilvl w:val="0"/>
                <w:numId w:val="3"/>
              </w:numPr>
              <w:rPr>
                <w:b/>
                <w:bCs/>
              </w:rPr>
            </w:pPr>
            <w:r w:rsidRPr="0081304D">
              <w:rPr>
                <w:bCs/>
              </w:rPr>
              <w:t>Odluka o raspodjeli sredstava za opremanje školskih knjižnica srednjih škola obveznom lektirom i stručnom literaturom u 202</w:t>
            </w:r>
            <w:r w:rsidR="007867AB">
              <w:rPr>
                <w:bCs/>
              </w:rPr>
              <w:t>4</w:t>
            </w:r>
            <w:r w:rsidRPr="0081304D">
              <w:rPr>
                <w:bCs/>
              </w:rPr>
              <w:t xml:space="preserve">. godini </w:t>
            </w:r>
          </w:p>
          <w:p w14:paraId="40345A09" w14:textId="357A3FC1" w:rsidR="00517EF0" w:rsidRPr="0081304D" w:rsidRDefault="00517EF0" w:rsidP="00517EF0">
            <w:pPr>
              <w:pStyle w:val="Odlomakpopisa"/>
              <w:numPr>
                <w:ilvl w:val="0"/>
                <w:numId w:val="3"/>
              </w:numPr>
              <w:rPr>
                <w:b/>
                <w:bCs/>
              </w:rPr>
            </w:pPr>
            <w:r w:rsidRPr="0081304D">
              <w:rPr>
                <w:bCs/>
              </w:rPr>
              <w:t>Nacionalna strategija za provedbu školske sheme voća i povrća te mlijeka i mliječnih proizvoda od školske godine 2017./2018. i 202</w:t>
            </w:r>
            <w:r w:rsidR="00281E7A">
              <w:rPr>
                <w:bCs/>
              </w:rPr>
              <w:t>4</w:t>
            </w:r>
            <w:r w:rsidRPr="0081304D">
              <w:rPr>
                <w:bCs/>
              </w:rPr>
              <w:t>./202</w:t>
            </w:r>
            <w:r w:rsidR="00281E7A">
              <w:rPr>
                <w:bCs/>
              </w:rPr>
              <w:t>5</w:t>
            </w:r>
            <w:r w:rsidRPr="0081304D">
              <w:rPr>
                <w:bCs/>
              </w:rPr>
              <w:t>.</w:t>
            </w:r>
          </w:p>
          <w:p w14:paraId="336EE9D5" w14:textId="77777777" w:rsidR="003A55EE" w:rsidRPr="0081304D" w:rsidRDefault="003A55EE" w:rsidP="00517EF0">
            <w:pPr>
              <w:jc w:val="both"/>
              <w:rPr>
                <w:sz w:val="20"/>
                <w:szCs w:val="20"/>
              </w:rPr>
            </w:pPr>
          </w:p>
          <w:p w14:paraId="410D4CB2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36442AF9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703151EB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2F209ECE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1179172F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6D7B3173" w14:textId="77777777" w:rsidR="00A23EBA" w:rsidRPr="0081304D" w:rsidRDefault="00A23EBA" w:rsidP="00A23EBA">
            <w:pPr>
              <w:rPr>
                <w:b/>
                <w:bCs/>
              </w:rPr>
            </w:pPr>
            <w:r w:rsidRPr="0081304D">
              <w:rPr>
                <w:b/>
                <w:bCs/>
              </w:rPr>
              <w:t>IZVRŠENJE RASHODA PO AKTIVNOSTIMA/PROJEKTIMA UNUTAR PROGRAMA:</w:t>
            </w:r>
          </w:p>
          <w:p w14:paraId="2A24FEA4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tbl>
            <w:tblPr>
              <w:tblW w:w="7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1913"/>
              <w:gridCol w:w="986"/>
              <w:gridCol w:w="2183"/>
              <w:gridCol w:w="1621"/>
            </w:tblGrid>
            <w:tr w:rsidR="00517EF0" w:rsidRPr="0081304D" w14:paraId="6CA0F03D" w14:textId="77777777" w:rsidTr="00517EF0">
              <w:trPr>
                <w:cantSplit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9A8C6" w14:textId="77777777" w:rsidR="00517EF0" w:rsidRPr="0081304D" w:rsidRDefault="00517EF0" w:rsidP="00CA17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81304D">
                    <w:rPr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81304D"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CB3E8" w14:textId="77777777" w:rsidR="00517EF0" w:rsidRPr="0081304D" w:rsidRDefault="00517EF0" w:rsidP="00CA17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1304D">
                    <w:rPr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EAE69" w14:textId="39FD6725" w:rsidR="00517EF0" w:rsidRPr="0081304D" w:rsidRDefault="00517EF0" w:rsidP="00CA1700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Plan 202</w:t>
                  </w:r>
                  <w:r w:rsidR="00281E7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5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5D7FA" w14:textId="2C2824FC" w:rsidR="00517EF0" w:rsidRPr="0081304D" w:rsidRDefault="00517EF0" w:rsidP="00CA1700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Izvršenje 1.-</w:t>
                  </w:r>
                  <w:r w:rsidR="007867A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06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.202</w:t>
                  </w:r>
                  <w:r w:rsidR="00281E7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5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B3F86" w14:textId="77777777" w:rsidR="00517EF0" w:rsidRPr="0081304D" w:rsidRDefault="00517EF0" w:rsidP="00CA1700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Indeks (Izvršenje/Plan)</w:t>
                  </w:r>
                </w:p>
              </w:tc>
            </w:tr>
            <w:tr w:rsidR="00517EF0" w:rsidRPr="0081304D" w14:paraId="6A649DC3" w14:textId="77777777" w:rsidTr="00517EF0">
              <w:trPr>
                <w:cantSplit/>
                <w:trHeight w:val="909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D37F6" w14:textId="77777777" w:rsidR="00517EF0" w:rsidRPr="0081304D" w:rsidRDefault="00517EF0" w:rsidP="00517EF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8D678" w14:textId="77777777" w:rsidR="00517EF0" w:rsidRPr="0081304D" w:rsidRDefault="00517EF0" w:rsidP="00CA1700">
                  <w:pPr>
                    <w:rPr>
                      <w:sz w:val="22"/>
                      <w:szCs w:val="22"/>
                    </w:rPr>
                  </w:pPr>
                  <w:r w:rsidRPr="0081304D">
                    <w:rPr>
                      <w:sz w:val="22"/>
                      <w:szCs w:val="22"/>
                    </w:rPr>
                    <w:t xml:space="preserve">Sufinanciranje obavezne školske lektire 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D8AE68" w14:textId="146ADFFC" w:rsidR="00517EF0" w:rsidRPr="0081304D" w:rsidRDefault="00517EF0" w:rsidP="00281E7A">
                  <w:pPr>
                    <w:rPr>
                      <w:sz w:val="22"/>
                      <w:szCs w:val="22"/>
                    </w:rPr>
                  </w:pPr>
                  <w:r w:rsidRPr="0081304D">
                    <w:rPr>
                      <w:sz w:val="22"/>
                      <w:szCs w:val="22"/>
                    </w:rPr>
                    <w:t xml:space="preserve">    </w:t>
                  </w:r>
                  <w:r w:rsidR="00281E7A">
                    <w:rPr>
                      <w:sz w:val="22"/>
                      <w:szCs w:val="22"/>
                    </w:rPr>
                    <w:t>380,00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A7AC71" w14:textId="3D654328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8F2AAB" w14:textId="32A58E0B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7867AB">
                    <w:rPr>
                      <w:sz w:val="22"/>
                      <w:szCs w:val="22"/>
                    </w:rPr>
                    <w:t>,00</w:t>
                  </w:r>
                  <w:r w:rsidR="00EE2CD2" w:rsidRPr="0081304D">
                    <w:rPr>
                      <w:sz w:val="22"/>
                      <w:szCs w:val="22"/>
                    </w:rPr>
                    <w:t xml:space="preserve"> </w:t>
                  </w:r>
                  <w:r w:rsidR="00517EF0" w:rsidRPr="0081304D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517EF0" w:rsidRPr="0081304D" w14:paraId="5584C506" w14:textId="77777777" w:rsidTr="00517EF0">
              <w:trPr>
                <w:cantSplit/>
                <w:trHeight w:val="332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53229" w14:textId="77777777" w:rsidR="00517EF0" w:rsidRPr="0081304D" w:rsidRDefault="00517EF0" w:rsidP="00517EF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20D16" w14:textId="77777777" w:rsidR="00517EF0" w:rsidRPr="0081304D" w:rsidRDefault="00517EF0" w:rsidP="00CA1700">
                  <w:pPr>
                    <w:rPr>
                      <w:sz w:val="22"/>
                      <w:szCs w:val="22"/>
                    </w:rPr>
                  </w:pPr>
                  <w:r w:rsidRPr="0081304D">
                    <w:rPr>
                      <w:sz w:val="22"/>
                      <w:szCs w:val="22"/>
                    </w:rPr>
                    <w:t>Shema-voće, povrće, mlijeko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9CD5B0" w14:textId="3BFD264E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2.720,00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BEB2D5" w14:textId="6E68B336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1.784,54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DF4C74" w14:textId="05D14709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66,09</w:t>
                  </w:r>
                  <w:r w:rsidR="007867AB">
                    <w:rPr>
                      <w:sz w:val="22"/>
                      <w:szCs w:val="22"/>
                    </w:rPr>
                    <w:t xml:space="preserve"> </w:t>
                  </w:r>
                  <w:r w:rsidR="00517EF0" w:rsidRPr="0081304D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517EF0" w:rsidRPr="0081304D" w14:paraId="0B2D28AF" w14:textId="77777777" w:rsidTr="00517EF0">
              <w:trPr>
                <w:cantSplit/>
                <w:trHeight w:val="332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4A93" w14:textId="77777777" w:rsidR="00517EF0" w:rsidRPr="0081304D" w:rsidRDefault="00517EF0" w:rsidP="00517EF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4C99D" w14:textId="10D07AE6" w:rsidR="00517EF0" w:rsidRPr="0081304D" w:rsidRDefault="00281E7A" w:rsidP="00CA17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Sufinanciranje aktivnosti u odgoju i obrazovanju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F74834" w14:textId="123DBB36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2.780,00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99C742" w14:textId="76406735" w:rsidR="00517EF0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7E1D0D" w14:textId="1B2D9CFE" w:rsidR="00517EF0" w:rsidRPr="0081304D" w:rsidRDefault="00EE2CD2" w:rsidP="00281E7A">
                  <w:pPr>
                    <w:jc w:val="center"/>
                    <w:rPr>
                      <w:sz w:val="22"/>
                      <w:szCs w:val="22"/>
                    </w:rPr>
                  </w:pPr>
                  <w:r w:rsidRPr="0081304D">
                    <w:rPr>
                      <w:sz w:val="22"/>
                      <w:szCs w:val="22"/>
                    </w:rPr>
                    <w:t xml:space="preserve"> </w:t>
                  </w:r>
                  <w:r w:rsidR="00281E7A">
                    <w:rPr>
                      <w:sz w:val="22"/>
                      <w:szCs w:val="22"/>
                    </w:rPr>
                    <w:t>0,00 %</w:t>
                  </w:r>
                </w:p>
              </w:tc>
            </w:tr>
            <w:tr w:rsidR="00EE2CD2" w:rsidRPr="0081304D" w14:paraId="63372217" w14:textId="77777777" w:rsidTr="00517EF0">
              <w:trPr>
                <w:cantSplit/>
                <w:trHeight w:val="332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58913" w14:textId="77777777" w:rsidR="00EE2CD2" w:rsidRPr="0081304D" w:rsidRDefault="00EE2CD2" w:rsidP="00517EF0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88707" w14:textId="64CB55E3" w:rsidR="00EE2CD2" w:rsidRPr="0081304D" w:rsidRDefault="00281E7A" w:rsidP="00CA17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Sajam zanimanja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90EB51" w14:textId="73E90980" w:rsidR="00EE2CD2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38C0" w14:textId="3A5E2CB9" w:rsidR="00EE2CD2" w:rsidRPr="0081304D" w:rsidRDefault="00281E7A" w:rsidP="00CA17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ADEBAE" w14:textId="6CE3E648" w:rsidR="00EE2CD2" w:rsidRPr="0081304D" w:rsidRDefault="00EE2CD2" w:rsidP="00281E7A">
                  <w:pPr>
                    <w:jc w:val="center"/>
                    <w:rPr>
                      <w:sz w:val="22"/>
                      <w:szCs w:val="22"/>
                    </w:rPr>
                  </w:pPr>
                  <w:r w:rsidRPr="0081304D">
                    <w:rPr>
                      <w:sz w:val="22"/>
                      <w:szCs w:val="22"/>
                    </w:rPr>
                    <w:t xml:space="preserve"> </w:t>
                  </w:r>
                  <w:r w:rsidR="00281E7A">
                    <w:rPr>
                      <w:sz w:val="22"/>
                      <w:szCs w:val="22"/>
                    </w:rPr>
                    <w:t>0,00 %</w:t>
                  </w:r>
                </w:p>
              </w:tc>
            </w:tr>
            <w:tr w:rsidR="00517EF0" w:rsidRPr="0081304D" w14:paraId="4F07C6DD" w14:textId="77777777" w:rsidTr="00517EF0">
              <w:trPr>
                <w:cantSplit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7473" w14:textId="77777777" w:rsidR="00517EF0" w:rsidRPr="0081304D" w:rsidRDefault="00517EF0" w:rsidP="00CA1700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466E" w14:textId="77777777" w:rsidR="00517EF0" w:rsidRPr="0081304D" w:rsidRDefault="00517EF0" w:rsidP="00CA1700">
                  <w:pPr>
                    <w:rPr>
                      <w:bCs/>
                      <w:sz w:val="22"/>
                      <w:szCs w:val="22"/>
                    </w:rPr>
                  </w:pPr>
                  <w:r w:rsidRPr="0081304D">
                    <w:rPr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08BDF6" w14:textId="7AEBA236" w:rsidR="00517EF0" w:rsidRPr="0081304D" w:rsidRDefault="00281E7A" w:rsidP="00CA170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6.010,00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6C2B3B" w14:textId="13AE0752" w:rsidR="00517EF0" w:rsidRPr="0081304D" w:rsidRDefault="00281E7A" w:rsidP="00CA170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1.784,54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C35E5C" w14:textId="2A630BF6" w:rsidR="00517EF0" w:rsidRPr="0081304D" w:rsidRDefault="00281E7A" w:rsidP="00CA170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29,69</w:t>
                  </w:r>
                  <w:r w:rsidR="00EE2CD2" w:rsidRPr="0081304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17EF0" w:rsidRPr="0081304D">
                    <w:rPr>
                      <w:b/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7864E526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51B7CCFA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133F7B80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4B9F6B0C" w14:textId="60249A3F" w:rsidR="00517EF0" w:rsidRPr="0081304D" w:rsidRDefault="00517EF0" w:rsidP="00517EF0">
            <w:pPr>
              <w:spacing w:line="276" w:lineRule="auto"/>
              <w:textAlignment w:val="baseline"/>
            </w:pPr>
            <w:r w:rsidRPr="0081304D">
              <w:lastRenderedPageBreak/>
              <w:t xml:space="preserve">Program je ostvaren u iznosu </w:t>
            </w:r>
            <w:r w:rsidR="00281E7A">
              <w:t>1.784,54</w:t>
            </w:r>
            <w:r w:rsidRPr="0081304D">
              <w:t xml:space="preserve"> € ili </w:t>
            </w:r>
            <w:r w:rsidR="00281E7A">
              <w:t>29,69</w:t>
            </w:r>
            <w:r w:rsidRPr="0081304D">
              <w:t xml:space="preserve"> % u odnosu na godišnji plan. Planirane aktivnosti i projekti izvršeni su u skladu sa planiranom dinamikom. U aktivnosti/projektu Shema-voće, povrće i mlijeko sudjeluje </w:t>
            </w:r>
            <w:r w:rsidR="00A85F4A">
              <w:t>394</w:t>
            </w:r>
            <w:r w:rsidRPr="0081304D">
              <w:t xml:space="preserve"> učenika te je svim učenicima osiguran obrok do kraja školske godine 202</w:t>
            </w:r>
            <w:r w:rsidR="00A85F4A">
              <w:t>5</w:t>
            </w:r>
            <w:r w:rsidRPr="0081304D">
              <w:t>./202</w:t>
            </w:r>
            <w:r w:rsidR="00A85F4A">
              <w:t>56</w:t>
            </w:r>
            <w:r w:rsidRPr="0081304D">
              <w:t xml:space="preserve">. Održana je 4.Zimska škola „Graditelji“ gdje je svim sudionicima osiguran materijal potreban za provođenje projekta. </w:t>
            </w:r>
          </w:p>
          <w:p w14:paraId="3DDA96E2" w14:textId="757638BA" w:rsidR="00517EF0" w:rsidRPr="0081304D" w:rsidRDefault="00517EF0" w:rsidP="00A85F4A">
            <w:pPr>
              <w:spacing w:line="276" w:lineRule="auto"/>
            </w:pPr>
            <w:r w:rsidRPr="0081304D">
              <w:t xml:space="preserve">Svim sudionicima projekta </w:t>
            </w:r>
            <w:r w:rsidRPr="0081304D">
              <w:rPr>
                <w:iCs/>
                <w:color w:val="000000"/>
                <w:shd w:val="clear" w:color="auto" w:fill="FFFFFF"/>
              </w:rPr>
              <w:t>Međunarodna ljetna škola hrvatskoga jezika i kulture Faust Vrančić</w:t>
            </w:r>
            <w:r w:rsidRPr="0081304D">
              <w:t xml:space="preserve">  osigurana su sredstva za rad, te prijevoz do odredišta</w:t>
            </w:r>
            <w:r w:rsidR="007867AB">
              <w:t xml:space="preserve">. </w:t>
            </w:r>
            <w:r w:rsidR="00C06390" w:rsidRPr="0081304D">
              <w:t xml:space="preserve"> Za školsku knjižnicu </w:t>
            </w:r>
            <w:r w:rsidR="00A85F4A">
              <w:t>još uvijek nisu nabavljene knjige. Nabavka se planira do kraja proračunske godine.</w:t>
            </w:r>
            <w:r w:rsidR="00A85F4A" w:rsidRPr="0081304D">
              <w:t xml:space="preserve"> </w:t>
            </w:r>
          </w:p>
          <w:p w14:paraId="05DB28AF" w14:textId="77777777" w:rsidR="00517EF0" w:rsidRPr="0081304D" w:rsidRDefault="00517EF0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43B4671D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7AE49D72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2F791D6B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546A6737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11067E8D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550"/>
              <w:gridCol w:w="1275"/>
              <w:gridCol w:w="1843"/>
            </w:tblGrid>
            <w:tr w:rsidR="003A55EE" w:rsidRPr="0081304D" w14:paraId="1DD71005" w14:textId="77777777" w:rsidTr="00C0639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1AB55" w14:textId="77777777" w:rsidR="003A55EE" w:rsidRPr="0081304D" w:rsidRDefault="003A55EE" w:rsidP="003A55EE">
                  <w:pPr>
                    <w:jc w:val="center"/>
                    <w:rPr>
                      <w:bCs/>
                    </w:rPr>
                  </w:pPr>
                  <w:r w:rsidRPr="0081304D">
                    <w:rPr>
                      <w:bCs/>
                    </w:rPr>
                    <w:t>Pokazatelj uspješnosti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6B9FE" w14:textId="77777777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Polazna</w:t>
                  </w:r>
                </w:p>
                <w:p w14:paraId="3099FE25" w14:textId="77777777" w:rsidR="003A55EE" w:rsidRPr="0081304D" w:rsidRDefault="003A55EE" w:rsidP="003A55EE">
                  <w:pPr>
                    <w:jc w:val="center"/>
                  </w:pPr>
                  <w:r w:rsidRPr="0081304D">
                    <w:t>vrijednost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7A61D" w14:textId="77777777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Ciljana</w:t>
                  </w:r>
                </w:p>
                <w:p w14:paraId="066C63C1" w14:textId="77777777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vrijednost</w:t>
                  </w:r>
                </w:p>
                <w:p w14:paraId="073BA5F4" w14:textId="48E81146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202</w:t>
                  </w:r>
                  <w:r w:rsidR="00A85F4A">
                    <w:rPr>
                      <w:bCs/>
                    </w:rPr>
                    <w:t>5</w:t>
                  </w:r>
                  <w:r w:rsidRPr="0081304D">
                    <w:rPr>
                      <w:bCs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A3605" w14:textId="20307D3F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 xml:space="preserve">Ostvarena vrijednost 1. – </w:t>
                  </w:r>
                  <w:r w:rsidR="007867AB">
                    <w:rPr>
                      <w:bCs/>
                    </w:rPr>
                    <w:t>06</w:t>
                  </w:r>
                  <w:r w:rsidRPr="0081304D">
                    <w:rPr>
                      <w:bCs/>
                    </w:rPr>
                    <w:t>.202</w:t>
                  </w:r>
                  <w:r w:rsidR="00A85F4A">
                    <w:rPr>
                      <w:bCs/>
                    </w:rPr>
                    <w:t>5</w:t>
                  </w:r>
                  <w:r w:rsidRPr="0081304D">
                    <w:rPr>
                      <w:bCs/>
                    </w:rPr>
                    <w:t>.</w:t>
                  </w:r>
                </w:p>
              </w:tc>
            </w:tr>
            <w:tr w:rsidR="003A55EE" w:rsidRPr="0081304D" w14:paraId="6B599A2D" w14:textId="77777777" w:rsidTr="00C0639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8E5E1D" w14:textId="77777777" w:rsidR="003A55EE" w:rsidRPr="0081304D" w:rsidRDefault="00517EF0" w:rsidP="003A55EE">
                  <w:r w:rsidRPr="0081304D">
                    <w:t>Broj knjiga i stručne literature koji je nabavljen za knjižnicu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D779F" w14:textId="77777777" w:rsidR="003A55EE" w:rsidRPr="0081304D" w:rsidRDefault="00517EF0" w:rsidP="00517EF0">
                  <w:pPr>
                    <w:jc w:val="center"/>
                  </w:pPr>
                  <w:r w:rsidRPr="0081304D"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2D69D" w14:textId="77777777" w:rsidR="003A55EE" w:rsidRPr="0081304D" w:rsidRDefault="00517EF0" w:rsidP="003A55EE">
                  <w:pPr>
                    <w:jc w:val="center"/>
                  </w:pPr>
                  <w:r w:rsidRPr="0081304D"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04CA7" w14:textId="6517FD6B" w:rsidR="003A55EE" w:rsidRPr="0081304D" w:rsidRDefault="00A85F4A" w:rsidP="003A55EE">
                  <w:pPr>
                    <w:jc w:val="center"/>
                  </w:pPr>
                  <w:r>
                    <w:t>0</w:t>
                  </w:r>
                </w:p>
              </w:tc>
            </w:tr>
            <w:tr w:rsidR="003A55EE" w:rsidRPr="0081304D" w14:paraId="211C57E1" w14:textId="77777777" w:rsidTr="00C0639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CA5C2" w14:textId="77777777" w:rsidR="003A55EE" w:rsidRPr="0081304D" w:rsidRDefault="003A55EE" w:rsidP="00517EF0">
                  <w:r w:rsidRPr="0081304D">
                    <w:t xml:space="preserve">Broj učenika </w:t>
                  </w:r>
                  <w:r w:rsidR="00517EF0" w:rsidRPr="0081304D">
                    <w:t>koji je uključen u Školsku shemu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FF598" w14:textId="77777777" w:rsidR="003A55EE" w:rsidRPr="0081304D" w:rsidRDefault="00517EF0" w:rsidP="003A55EE">
                  <w:pPr>
                    <w:jc w:val="center"/>
                  </w:pPr>
                  <w:r w:rsidRPr="0081304D">
                    <w:t>365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D9433" w14:textId="58036CD5" w:rsidR="003A55EE" w:rsidRPr="0081304D" w:rsidRDefault="00A85F4A" w:rsidP="003A55EE">
                  <w:pPr>
                    <w:jc w:val="center"/>
                  </w:pPr>
                  <w:r>
                    <w:t>394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B230B" w14:textId="189DCDF0" w:rsidR="003A55EE" w:rsidRPr="0081304D" w:rsidRDefault="00A85F4A" w:rsidP="003A55EE">
                  <w:pPr>
                    <w:jc w:val="center"/>
                  </w:pPr>
                  <w:r>
                    <w:t>394</w:t>
                  </w:r>
                </w:p>
              </w:tc>
            </w:tr>
            <w:tr w:rsidR="003A55EE" w:rsidRPr="0081304D" w14:paraId="105D22DE" w14:textId="77777777" w:rsidTr="00C0639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42861" w14:textId="77777777" w:rsidR="003A55EE" w:rsidRPr="0081304D" w:rsidRDefault="00517EF0" w:rsidP="003A55EE">
                  <w:r w:rsidRPr="0081304D">
                    <w:t>Broj projekata u kojem škola sudjeluje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E02AE" w14:textId="77777777" w:rsidR="003A55EE" w:rsidRPr="0081304D" w:rsidRDefault="00517EF0" w:rsidP="003A55EE">
                  <w:pPr>
                    <w:jc w:val="center"/>
                  </w:pPr>
                  <w:r w:rsidRPr="0081304D"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9A732" w14:textId="77777777" w:rsidR="003A55EE" w:rsidRPr="0081304D" w:rsidRDefault="00517EF0" w:rsidP="003A55EE">
                  <w:pPr>
                    <w:jc w:val="center"/>
                  </w:pPr>
                  <w:r w:rsidRPr="0081304D"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02F23" w14:textId="77777777" w:rsidR="003A55EE" w:rsidRPr="0081304D" w:rsidRDefault="00517EF0" w:rsidP="003A55EE">
                  <w:pPr>
                    <w:jc w:val="center"/>
                  </w:pPr>
                  <w:r w:rsidRPr="0081304D">
                    <w:t>2</w:t>
                  </w:r>
                </w:p>
              </w:tc>
            </w:tr>
          </w:tbl>
          <w:p w14:paraId="452D9A0D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017BADDB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00C968D4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49C73E52" w14:textId="77777777" w:rsidR="008C6677" w:rsidRPr="0081304D" w:rsidRDefault="008C6677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27ED0083" w14:textId="77777777" w:rsidR="00D62DF0" w:rsidRPr="0081304D" w:rsidRDefault="00D62DF0" w:rsidP="003A55EE">
            <w:pPr>
              <w:jc w:val="both"/>
              <w:rPr>
                <w:b/>
              </w:rPr>
            </w:pPr>
          </w:p>
          <w:p w14:paraId="49DEA81B" w14:textId="77777777" w:rsidR="00333CCD" w:rsidRDefault="00333CCD" w:rsidP="003A55EE">
            <w:pPr>
              <w:jc w:val="both"/>
              <w:rPr>
                <w:b/>
              </w:rPr>
            </w:pPr>
          </w:p>
          <w:p w14:paraId="22BEB30E" w14:textId="77777777" w:rsidR="006237A9" w:rsidRDefault="006237A9" w:rsidP="003A55EE">
            <w:pPr>
              <w:jc w:val="both"/>
              <w:rPr>
                <w:b/>
              </w:rPr>
            </w:pPr>
          </w:p>
          <w:p w14:paraId="7BAEA2B1" w14:textId="28AD7DC5" w:rsidR="003A55EE" w:rsidRPr="0081304D" w:rsidRDefault="00A23EBA" w:rsidP="003A55EE">
            <w:pPr>
              <w:jc w:val="both"/>
              <w:rPr>
                <w:b/>
              </w:rPr>
            </w:pPr>
            <w:r w:rsidRPr="0081304D">
              <w:rPr>
                <w:b/>
              </w:rPr>
              <w:t>7007 FINANCIRANJE SREDNJEG ŠKOLSTVA PREMA MINIMALNOM STANDARDU</w:t>
            </w:r>
          </w:p>
          <w:p w14:paraId="75A45C28" w14:textId="77777777" w:rsidR="00A23EBA" w:rsidRPr="0081304D" w:rsidRDefault="00A23EBA" w:rsidP="003A55EE">
            <w:pPr>
              <w:jc w:val="both"/>
            </w:pPr>
          </w:p>
          <w:p w14:paraId="3D704E1D" w14:textId="77777777" w:rsidR="00A23EBA" w:rsidRPr="0081304D" w:rsidRDefault="00A23EBA" w:rsidP="003A55EE">
            <w:pPr>
              <w:jc w:val="both"/>
              <w:rPr>
                <w:sz w:val="20"/>
                <w:szCs w:val="20"/>
              </w:rPr>
            </w:pPr>
          </w:p>
          <w:p w14:paraId="18717173" w14:textId="77777777" w:rsidR="008C6677" w:rsidRPr="0081304D" w:rsidRDefault="008C6677" w:rsidP="00A23EBA"/>
          <w:p w14:paraId="531A041F" w14:textId="77777777" w:rsidR="00A23EBA" w:rsidRPr="0081304D" w:rsidRDefault="00A23EBA" w:rsidP="00A23EBA">
            <w:r w:rsidRPr="0081304D">
              <w:t>Program se sastoji od tri projekta/aktivnosti: Izgradnja, rekonstrukcija i opremanje objekata srednjeg školstva, Financiranje općih troškova srednjeg školstva i Financiranje stvarnih troškova srednjeg školstva.</w:t>
            </w:r>
          </w:p>
          <w:p w14:paraId="281CEDB5" w14:textId="77777777" w:rsidR="00A23EBA" w:rsidRPr="0081304D" w:rsidRDefault="00A23EBA" w:rsidP="00A23EBA">
            <w:r w:rsidRPr="0081304D">
              <w:t>Minimalni financijski standard u srednjem školstvu i Graditeljsko-geodetskoj školi nužan je za realizaciju nastavnog plana i programa. Njime se osiguravaju sredstva za opće troškove srednjih škola i trošak energenata, prijevoz zaposlenika, liječničke preglede zaposlenika, sredstva za materijal, dijelove i usluge tekućeg i investicijskog održavanja.</w:t>
            </w:r>
          </w:p>
          <w:p w14:paraId="78D8076D" w14:textId="77777777" w:rsidR="00A23EBA" w:rsidRPr="0081304D" w:rsidRDefault="00A23EBA" w:rsidP="00A23EBA">
            <w:r w:rsidRPr="0081304D">
              <w:t>Rashode smo planirali prema limitima određenih od strane Upravnog tijela Županije, nadležnog za financije. Isto tako, prema limitima utvrđenim od strane Županije, planirali smo i rashode za izgradnju, rekonstrukciju i opremanje.</w:t>
            </w:r>
          </w:p>
          <w:p w14:paraId="12A1D62A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65A1BC95" w14:textId="77777777" w:rsidR="00A23EBA" w:rsidRPr="0081304D" w:rsidRDefault="00A23EBA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08CC8A3B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29DFB4B4" w14:textId="77777777" w:rsidR="00A23EBA" w:rsidRPr="0081304D" w:rsidRDefault="00A23EBA" w:rsidP="00A23EBA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81304D">
              <w:t>Zakon o lokalnoj i područnoj (regionalnoj) samoupravi</w:t>
            </w:r>
          </w:p>
          <w:p w14:paraId="06242ADF" w14:textId="77777777" w:rsidR="00A23EBA" w:rsidRPr="0081304D" w:rsidRDefault="00A23EBA" w:rsidP="00A23EBA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81304D">
              <w:t>Zakon o odgoju i obrazovanju u osnovnoj i srednjoj školi</w:t>
            </w:r>
          </w:p>
          <w:p w14:paraId="348D5972" w14:textId="77777777" w:rsidR="00A23EBA" w:rsidRPr="0081304D" w:rsidRDefault="00A23EBA" w:rsidP="00A23EBA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81304D">
              <w:t>Uredba o načinu izračuna iznosa pomoći izravnanja za decentralizirane funkcije jedinica lokalne i područne (regionalne) samouprave</w:t>
            </w:r>
          </w:p>
          <w:p w14:paraId="2DAD393D" w14:textId="39E92993" w:rsidR="00A23EBA" w:rsidRPr="0081304D" w:rsidRDefault="00A23EBA" w:rsidP="00A23EBA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81304D">
              <w:t>Odluka o kriterijima, mjerilima i načinu financiranja decentraliziranih funkcija srednjih škola i učeničkih domova na području Osječko – baranjske županije u 202</w:t>
            </w:r>
            <w:r w:rsidR="0060565D">
              <w:t>4</w:t>
            </w:r>
            <w:r w:rsidRPr="0081304D">
              <w:t>. godini</w:t>
            </w:r>
          </w:p>
          <w:p w14:paraId="6979B64B" w14:textId="167B492A" w:rsidR="00A23EBA" w:rsidRPr="0081304D" w:rsidRDefault="00A23EBA" w:rsidP="00A23EBA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81304D">
              <w:t>Plan rashoda za nabavu proizvedene dugotrajne imovine i dodatna ulaganja u nefinancijskoj imovini u školstvu Osječko – baranjske županije u 202</w:t>
            </w:r>
            <w:r w:rsidR="0060565D">
              <w:t>4</w:t>
            </w:r>
            <w:r w:rsidR="00276B5A" w:rsidRPr="0081304D">
              <w:t>.</w:t>
            </w:r>
            <w:r w:rsidRPr="0081304D">
              <w:t xml:space="preserve"> godini</w:t>
            </w:r>
          </w:p>
          <w:p w14:paraId="7D5352FA" w14:textId="5DF80AF4" w:rsidR="00A23EBA" w:rsidRPr="0081304D" w:rsidRDefault="00A23EBA" w:rsidP="00A23EBA">
            <w:pPr>
              <w:pStyle w:val="Odlomakpopisa"/>
              <w:numPr>
                <w:ilvl w:val="0"/>
                <w:numId w:val="5"/>
              </w:numPr>
              <w:rPr>
                <w:b/>
                <w:bCs/>
              </w:rPr>
            </w:pPr>
            <w:r w:rsidRPr="0081304D">
              <w:t>Plan rashoda za materijal, dijelove i usluge tekućeg i investicijskog održavanja školskih objekata u Osječko – baranjskoj županiji u 202</w:t>
            </w:r>
            <w:r w:rsidR="0060565D">
              <w:t>4</w:t>
            </w:r>
            <w:r w:rsidRPr="0081304D">
              <w:t>. godini</w:t>
            </w:r>
          </w:p>
          <w:p w14:paraId="00A34B11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1383839A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p w14:paraId="375C55CE" w14:textId="77777777" w:rsidR="003A55EE" w:rsidRPr="0081304D" w:rsidRDefault="003A55EE" w:rsidP="003A55EE">
            <w:pPr>
              <w:jc w:val="both"/>
              <w:rPr>
                <w:sz w:val="20"/>
                <w:szCs w:val="20"/>
              </w:rPr>
            </w:pPr>
          </w:p>
          <w:p w14:paraId="258DC030" w14:textId="77777777" w:rsidR="0081304D" w:rsidRDefault="0081304D" w:rsidP="00A23EBA">
            <w:pPr>
              <w:rPr>
                <w:b/>
                <w:bCs/>
              </w:rPr>
            </w:pPr>
          </w:p>
          <w:p w14:paraId="17652540" w14:textId="0046573F" w:rsidR="00A23EBA" w:rsidRPr="0081304D" w:rsidRDefault="00A23EBA" w:rsidP="00A23EBA">
            <w:pPr>
              <w:rPr>
                <w:b/>
                <w:bCs/>
              </w:rPr>
            </w:pPr>
            <w:r w:rsidRPr="0081304D">
              <w:rPr>
                <w:b/>
                <w:bCs/>
              </w:rPr>
              <w:t>IZVRŠENJE RASHODA PO AKTIVNOSTIMA/PROJEKTIMA UNUTAR PROGRAMA:</w:t>
            </w:r>
          </w:p>
          <w:p w14:paraId="1E52BFC6" w14:textId="77777777" w:rsidR="003A55EE" w:rsidRPr="0081304D" w:rsidRDefault="003A55EE" w:rsidP="003A55EE">
            <w:pPr>
              <w:jc w:val="both"/>
              <w:rPr>
                <w:i/>
                <w:sz w:val="20"/>
                <w:szCs w:val="20"/>
              </w:rPr>
            </w:pPr>
          </w:p>
          <w:tbl>
            <w:tblPr>
              <w:tblW w:w="7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7"/>
              <w:gridCol w:w="2016"/>
              <w:gridCol w:w="1296"/>
              <w:gridCol w:w="1892"/>
              <w:gridCol w:w="1749"/>
            </w:tblGrid>
            <w:tr w:rsidR="00A23EBA" w:rsidRPr="0081304D" w14:paraId="72D5902A" w14:textId="77777777" w:rsidTr="00A23EBA">
              <w:trPr>
                <w:cantSplit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3D942" w14:textId="77777777" w:rsidR="00A23EBA" w:rsidRPr="0081304D" w:rsidRDefault="00A23EBA" w:rsidP="00CA1700">
                  <w:pPr>
                    <w:jc w:val="center"/>
                    <w:rPr>
                      <w:bCs/>
                    </w:rPr>
                  </w:pPr>
                  <w:proofErr w:type="spellStart"/>
                  <w:r w:rsidRPr="0081304D">
                    <w:rPr>
                      <w:bCs/>
                    </w:rPr>
                    <w:t>R.b</w:t>
                  </w:r>
                  <w:proofErr w:type="spellEnd"/>
                  <w:r w:rsidRPr="0081304D">
                    <w:rPr>
                      <w:bCs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29A03" w14:textId="77777777" w:rsidR="00A23EBA" w:rsidRPr="0081304D" w:rsidRDefault="00A23EBA" w:rsidP="00CA1700">
                  <w:pPr>
                    <w:jc w:val="center"/>
                    <w:rPr>
                      <w:bCs/>
                    </w:rPr>
                  </w:pPr>
                  <w:r w:rsidRPr="0081304D">
                    <w:rPr>
                      <w:bCs/>
                    </w:rPr>
                    <w:t>Naziv aktivnosti/projekta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B212F" w14:textId="2AFDBAC4" w:rsidR="00A23EBA" w:rsidRPr="0081304D" w:rsidRDefault="00A23EBA" w:rsidP="00CA1700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Plan 202</w:t>
                  </w:r>
                  <w:r w:rsidR="0060565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4D579" w14:textId="77777777" w:rsidR="00A23EBA" w:rsidRPr="0081304D" w:rsidRDefault="00A23EBA" w:rsidP="00CA1700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14:paraId="49CE7526" w14:textId="78CA508D" w:rsidR="00A23EBA" w:rsidRPr="0081304D" w:rsidRDefault="00A23EBA" w:rsidP="00CA1700">
                  <w:pPr>
                    <w:pStyle w:val="Naslov7"/>
                    <w:spacing w:line="480" w:lineRule="auto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Izvršenje 1.-</w:t>
                  </w:r>
                  <w:r w:rsidR="00333CC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06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.202</w:t>
                  </w:r>
                  <w:r w:rsidR="0060565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105C1" w14:textId="77777777" w:rsidR="008C6677" w:rsidRPr="0081304D" w:rsidRDefault="008C6677" w:rsidP="00CA1700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14:paraId="5AF67383" w14:textId="77777777" w:rsidR="008C6677" w:rsidRPr="0081304D" w:rsidRDefault="00A23EBA" w:rsidP="008C6677">
                  <w:pPr>
                    <w:pStyle w:val="Naslov7"/>
                    <w:jc w:val="lef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Indeks (Izvršenje/Plan)</w:t>
                  </w:r>
                </w:p>
                <w:p w14:paraId="3BBA3D7C" w14:textId="77777777" w:rsidR="00A23EBA" w:rsidRPr="0081304D" w:rsidRDefault="00A23EBA" w:rsidP="008C6677"/>
              </w:tc>
            </w:tr>
            <w:tr w:rsidR="00A23EBA" w:rsidRPr="0081304D" w14:paraId="3C50B4BF" w14:textId="77777777" w:rsidTr="00A23EBA">
              <w:trPr>
                <w:cantSplit/>
                <w:trHeight w:val="909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89E76" w14:textId="77777777" w:rsidR="00A23EBA" w:rsidRPr="0081304D" w:rsidRDefault="00A23EBA" w:rsidP="00A23EBA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3CA72" w14:textId="77777777" w:rsidR="00A23EBA" w:rsidRPr="0081304D" w:rsidRDefault="00A23EBA" w:rsidP="00CA1700">
                  <w:r w:rsidRPr="0081304D">
                    <w:t>Izgradnja, rekonstrukcija i opremanje objekta srednjeg školstva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6A2604" w14:textId="54DA93D8" w:rsidR="00A23EBA" w:rsidRPr="0081304D" w:rsidRDefault="00A23EBA" w:rsidP="0060565D">
                  <w:r w:rsidRPr="0081304D">
                    <w:t xml:space="preserve">     </w:t>
                  </w:r>
                  <w:r w:rsidR="0060565D">
                    <w:t>1.500,00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4166E8" w14:textId="68764E9B" w:rsidR="00A23EBA" w:rsidRPr="0081304D" w:rsidRDefault="0060565D" w:rsidP="00CA1700">
                  <w:pPr>
                    <w:jc w:val="center"/>
                  </w:pPr>
                  <w:r>
                    <w:t>1.500,00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15AB12" w14:textId="554D228B" w:rsidR="00A23EBA" w:rsidRPr="0081304D" w:rsidRDefault="0060565D" w:rsidP="00CA1700">
                  <w:pPr>
                    <w:jc w:val="center"/>
                  </w:pPr>
                  <w:r>
                    <w:t>100,00</w:t>
                  </w:r>
                  <w:r w:rsidR="00276B5A" w:rsidRPr="0081304D">
                    <w:t xml:space="preserve"> %</w:t>
                  </w:r>
                </w:p>
              </w:tc>
            </w:tr>
            <w:tr w:rsidR="00A23EBA" w:rsidRPr="0081304D" w14:paraId="1017C82D" w14:textId="77777777" w:rsidTr="00A23EBA">
              <w:trPr>
                <w:cantSplit/>
                <w:trHeight w:val="332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2C9BE" w14:textId="77777777" w:rsidR="00A23EBA" w:rsidRPr="0081304D" w:rsidRDefault="00A23EBA" w:rsidP="00A23EBA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26D5E" w14:textId="77777777" w:rsidR="00A23EBA" w:rsidRPr="0081304D" w:rsidRDefault="00A23EBA" w:rsidP="00CA1700">
                  <w:r w:rsidRPr="0081304D">
                    <w:t>Financiranje općih troškova srednjeg školstva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A85FD" w14:textId="0CDD1FD9" w:rsidR="00A23EBA" w:rsidRPr="0081304D" w:rsidRDefault="00A23EBA" w:rsidP="0060565D">
                  <w:r w:rsidRPr="0081304D">
                    <w:t xml:space="preserve">    </w:t>
                  </w:r>
                  <w:r w:rsidR="0060565D">
                    <w:t>30.336,00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328C1" w14:textId="2086FB62" w:rsidR="00A23EBA" w:rsidRPr="0081304D" w:rsidRDefault="0060565D" w:rsidP="00CA1700">
                  <w:pPr>
                    <w:jc w:val="center"/>
                  </w:pPr>
                  <w:r>
                    <w:t>15.693,53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4F590B" w14:textId="46F259B0" w:rsidR="00A23EBA" w:rsidRPr="0081304D" w:rsidRDefault="0060565D" w:rsidP="00CA1700">
                  <w:pPr>
                    <w:jc w:val="center"/>
                  </w:pPr>
                  <w:r>
                    <w:t>51,73</w:t>
                  </w:r>
                  <w:r w:rsidR="00A23EBA" w:rsidRPr="0081304D">
                    <w:t>%</w:t>
                  </w:r>
                </w:p>
              </w:tc>
            </w:tr>
            <w:tr w:rsidR="00A23EBA" w:rsidRPr="0081304D" w14:paraId="758FD70A" w14:textId="77777777" w:rsidTr="00A23EBA">
              <w:trPr>
                <w:cantSplit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71D44" w14:textId="77777777" w:rsidR="00A23EBA" w:rsidRPr="0081304D" w:rsidRDefault="00A23EBA" w:rsidP="00A23EBA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ABF60" w14:textId="77777777" w:rsidR="00A23EBA" w:rsidRPr="0081304D" w:rsidRDefault="00A23EBA" w:rsidP="00CA1700">
                  <w:r w:rsidRPr="0081304D">
                    <w:t>Financiranje stvarnih troškova srednjeg školstva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CA184" w14:textId="64E948D5" w:rsidR="00A23EBA" w:rsidRPr="0081304D" w:rsidRDefault="0060565D" w:rsidP="00CA1700">
                  <w:pPr>
                    <w:jc w:val="center"/>
                  </w:pPr>
                  <w:r>
                    <w:t>141.846,00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FCFE0D" w14:textId="2773EA1B" w:rsidR="00A23EBA" w:rsidRPr="0081304D" w:rsidRDefault="0060565D" w:rsidP="00CA1700">
                  <w:pPr>
                    <w:jc w:val="center"/>
                  </w:pPr>
                  <w:r>
                    <w:t>67.964,32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AFBEE" w14:textId="38252A1F" w:rsidR="00A23EBA" w:rsidRPr="0081304D" w:rsidRDefault="0060565D" w:rsidP="00CA1700">
                  <w:pPr>
                    <w:jc w:val="center"/>
                  </w:pPr>
                  <w:r>
                    <w:t>47,91</w:t>
                  </w:r>
                  <w:r w:rsidR="00A4401B" w:rsidRPr="0081304D">
                    <w:t xml:space="preserve"> %</w:t>
                  </w:r>
                </w:p>
              </w:tc>
            </w:tr>
            <w:tr w:rsidR="00A23EBA" w:rsidRPr="0081304D" w14:paraId="2465AF8A" w14:textId="77777777" w:rsidTr="00A23EBA">
              <w:trPr>
                <w:cantSplit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984F5" w14:textId="77777777" w:rsidR="00A23EBA" w:rsidRPr="0081304D" w:rsidRDefault="00A23EBA" w:rsidP="00CA1700">
                  <w:pPr>
                    <w:rPr>
                      <w:bCs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7B40" w14:textId="77777777" w:rsidR="00A23EBA" w:rsidRPr="0081304D" w:rsidRDefault="00A23EBA" w:rsidP="00CA1700">
                  <w:pPr>
                    <w:rPr>
                      <w:bCs/>
                    </w:rPr>
                  </w:pPr>
                  <w:r w:rsidRPr="0081304D">
                    <w:rPr>
                      <w:bCs/>
                    </w:rPr>
                    <w:t>Ukupno program: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BB34B1" w14:textId="50529896" w:rsidR="00A23EBA" w:rsidRPr="0081304D" w:rsidRDefault="0060565D" w:rsidP="00CA170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173.682,00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E1609C" w14:textId="2602FC93" w:rsidR="00A23EBA" w:rsidRPr="0081304D" w:rsidRDefault="0060565D" w:rsidP="00CA170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85.157,85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4439AF" w14:textId="2A841FC1" w:rsidR="00A23EBA" w:rsidRPr="0081304D" w:rsidRDefault="0060565D" w:rsidP="00CA170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49,03</w:t>
                  </w:r>
                  <w:r w:rsidR="00A4401B" w:rsidRPr="0081304D">
                    <w:rPr>
                      <w:b/>
                      <w:bCs/>
                    </w:rPr>
                    <w:t xml:space="preserve"> %</w:t>
                  </w:r>
                </w:p>
              </w:tc>
            </w:tr>
          </w:tbl>
          <w:p w14:paraId="6C0C071D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2479D667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7122F26D" w14:textId="77777777" w:rsidR="00A23EBA" w:rsidRPr="0081304D" w:rsidRDefault="00A23EBA" w:rsidP="00A23EBA">
            <w:pPr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</w:p>
          <w:p w14:paraId="5C02A055" w14:textId="77777777" w:rsidR="00A4401B" w:rsidRPr="0081304D" w:rsidRDefault="00A4401B" w:rsidP="00A23EBA">
            <w:pPr>
              <w:spacing w:line="276" w:lineRule="auto"/>
              <w:textAlignment w:val="baseline"/>
            </w:pPr>
          </w:p>
          <w:p w14:paraId="64BB2499" w14:textId="04B42824" w:rsidR="00A23EBA" w:rsidRPr="0081304D" w:rsidRDefault="00A23EBA" w:rsidP="00A23EBA">
            <w:pPr>
              <w:spacing w:line="276" w:lineRule="auto"/>
              <w:textAlignment w:val="baseline"/>
              <w:rPr>
                <w:i/>
              </w:rPr>
            </w:pPr>
            <w:r w:rsidRPr="0081304D">
              <w:t xml:space="preserve">Program je ostvaren u iznosu od </w:t>
            </w:r>
            <w:r w:rsidR="0060565D">
              <w:t>85.157,85</w:t>
            </w:r>
            <w:r w:rsidRPr="0081304D">
              <w:t xml:space="preserve"> € ili </w:t>
            </w:r>
            <w:r w:rsidR="0060565D">
              <w:t>49,03</w:t>
            </w:r>
            <w:r w:rsidRPr="0081304D">
              <w:t xml:space="preserve"> % u odnosu na godišnji plan. Planirane aktivnosti i projekti izvršeni su u skladu sa planiranom dinamikom. </w:t>
            </w:r>
          </w:p>
          <w:p w14:paraId="7A77FC16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75C5ED51" w14:textId="77777777" w:rsidR="0081304D" w:rsidRPr="0081304D" w:rsidRDefault="0081304D" w:rsidP="0081304D">
            <w:r w:rsidRPr="0081304D">
              <w:t>Realizacijom programa ostvareni su sljedeći ciljevi: osigurani su uvjeti za izvođenje obveznog programa na propisanoj razini te njegovo obuhvaćanje sadržajima po mjeri učenika.</w:t>
            </w:r>
            <w:r>
              <w:t xml:space="preserve"> Osigurana je kvaliteta komunikacije i razmjena podataka između škole i Upravnog odjela te daljnja razrada kriterija </w:t>
            </w:r>
            <w:r w:rsidRPr="0081304D">
              <w:t xml:space="preserve">i mjerila </w:t>
            </w:r>
            <w:r w:rsidRPr="0081304D">
              <w:lastRenderedPageBreak/>
              <w:t>decentraliziranog financiranja radi postizanja što racionalnijeg i ekonomičnijeg financiranja škole.</w:t>
            </w:r>
          </w:p>
          <w:p w14:paraId="452E31B0" w14:textId="77777777" w:rsidR="0081304D" w:rsidRPr="0081304D" w:rsidRDefault="0081304D" w:rsidP="0081304D">
            <w:pPr>
              <w:jc w:val="both"/>
              <w:rPr>
                <w:bCs/>
                <w:sz w:val="20"/>
                <w:szCs w:val="20"/>
              </w:rPr>
            </w:pPr>
          </w:p>
          <w:p w14:paraId="680ED785" w14:textId="60E5DF08" w:rsidR="00A23EBA" w:rsidRPr="0081304D" w:rsidRDefault="00A23EBA" w:rsidP="0081304D">
            <w:pPr>
              <w:rPr>
                <w:bCs/>
                <w:sz w:val="20"/>
                <w:szCs w:val="20"/>
              </w:rPr>
            </w:pPr>
          </w:p>
          <w:p w14:paraId="1C6EE927" w14:textId="77777777" w:rsidR="00A23EBA" w:rsidRPr="0081304D" w:rsidRDefault="00A23EBA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65F33CDB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3F728689" w14:textId="77777777" w:rsidR="00D8288B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5FC305E2" w14:textId="77777777" w:rsidR="0081304D" w:rsidRDefault="0081304D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52E67768" w14:textId="77777777" w:rsidR="0081304D" w:rsidRDefault="0081304D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35FD4230" w14:textId="77777777" w:rsidR="0081304D" w:rsidRDefault="0081304D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06E4C2D9" w14:textId="77777777" w:rsidR="0081304D" w:rsidRPr="0081304D" w:rsidRDefault="0081304D" w:rsidP="003A55EE">
            <w:pPr>
              <w:jc w:val="both"/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559"/>
              <w:gridCol w:w="1276"/>
              <w:gridCol w:w="1189"/>
            </w:tblGrid>
            <w:tr w:rsidR="003A55EE" w:rsidRPr="0081304D" w14:paraId="470050EA" w14:textId="77777777" w:rsidTr="00D8288B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FFB9B" w14:textId="77777777" w:rsidR="003A55EE" w:rsidRPr="0081304D" w:rsidRDefault="003A55EE" w:rsidP="003A55EE">
                  <w:pPr>
                    <w:jc w:val="center"/>
                    <w:rPr>
                      <w:bCs/>
                    </w:rPr>
                  </w:pPr>
                  <w:r w:rsidRPr="0081304D">
                    <w:rPr>
                      <w:bCs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427E0" w14:textId="77777777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Polazna</w:t>
                  </w:r>
                </w:p>
                <w:p w14:paraId="4BFA898D" w14:textId="77777777" w:rsidR="003A55EE" w:rsidRPr="0081304D" w:rsidRDefault="003A55EE" w:rsidP="003A55EE">
                  <w:pPr>
                    <w:jc w:val="center"/>
                  </w:pPr>
                  <w:r w:rsidRPr="0081304D"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BC382" w14:textId="77777777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Ciljana</w:t>
                  </w:r>
                </w:p>
                <w:p w14:paraId="58083189" w14:textId="77777777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vrijednost</w:t>
                  </w:r>
                </w:p>
                <w:p w14:paraId="4D613068" w14:textId="303D2588" w:rsidR="003A55EE" w:rsidRPr="0081304D" w:rsidRDefault="003A55EE" w:rsidP="003A55EE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202</w:t>
                  </w:r>
                  <w:r w:rsidR="0060565D">
                    <w:rPr>
                      <w:bCs/>
                    </w:rPr>
                    <w:t>5</w:t>
                  </w:r>
                  <w:r w:rsidRPr="0081304D">
                    <w:rPr>
                      <w:bCs/>
                    </w:rPr>
                    <w:t>.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AE53E" w14:textId="77777777" w:rsidR="003A55EE" w:rsidRPr="0081304D" w:rsidRDefault="003A55EE" w:rsidP="003A55EE">
                  <w:pPr>
                    <w:keepNext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Ostvarena</w:t>
                  </w:r>
                </w:p>
                <w:p w14:paraId="7F893EBB" w14:textId="77777777" w:rsidR="003A55EE" w:rsidRPr="0081304D" w:rsidRDefault="003A55EE" w:rsidP="003A55EE">
                  <w:pPr>
                    <w:keepNext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vrijednost</w:t>
                  </w:r>
                </w:p>
                <w:p w14:paraId="4F388983" w14:textId="2145200F" w:rsidR="003A55EE" w:rsidRPr="0081304D" w:rsidRDefault="003A55EE" w:rsidP="003A55EE">
                  <w:pPr>
                    <w:keepNext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1.-</w:t>
                  </w:r>
                  <w:r w:rsidR="00333CCD">
                    <w:rPr>
                      <w:bCs/>
                    </w:rPr>
                    <w:t>06</w:t>
                  </w:r>
                  <w:r w:rsidRPr="0081304D">
                    <w:rPr>
                      <w:bCs/>
                    </w:rPr>
                    <w:t>. 202</w:t>
                  </w:r>
                  <w:r w:rsidR="0060565D">
                    <w:rPr>
                      <w:bCs/>
                    </w:rPr>
                    <w:t>5</w:t>
                  </w:r>
                  <w:r w:rsidRPr="0081304D">
                    <w:rPr>
                      <w:bCs/>
                    </w:rPr>
                    <w:t>.</w:t>
                  </w:r>
                </w:p>
              </w:tc>
            </w:tr>
            <w:tr w:rsidR="003A55EE" w:rsidRPr="0081304D" w14:paraId="26D44C26" w14:textId="77777777" w:rsidTr="00D8288B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CF12E" w14:textId="77777777" w:rsidR="003A55EE" w:rsidRPr="0081304D" w:rsidRDefault="00A23EBA" w:rsidP="003A55EE">
                  <w:r w:rsidRPr="0081304D">
                    <w:t xml:space="preserve">Broj nastavnika koji su prisustvovali na edukacijama, seminarima, stručnim skupovima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D5930" w14:textId="77777777" w:rsidR="003A55EE" w:rsidRPr="0081304D" w:rsidRDefault="00A23EBA" w:rsidP="003A55EE">
                  <w:pPr>
                    <w:jc w:val="center"/>
                    <w:rPr>
                      <w:highlight w:val="red"/>
                    </w:rPr>
                  </w:pPr>
                  <w:r w:rsidRPr="0081304D"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35A70" w14:textId="337B3137" w:rsidR="003A55EE" w:rsidRPr="0081304D" w:rsidRDefault="00DD6CD8" w:rsidP="0060565D">
                  <w:pPr>
                    <w:jc w:val="center"/>
                    <w:rPr>
                      <w:highlight w:val="red"/>
                    </w:rPr>
                  </w:pPr>
                  <w:r>
                    <w:t>1</w:t>
                  </w:r>
                  <w:r w:rsidR="0060565D">
                    <w:t>2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11F8D" w14:textId="1A99A312" w:rsidR="003A55EE" w:rsidRPr="00DD6CD8" w:rsidRDefault="00DD6CD8" w:rsidP="003A55EE">
                  <w:pPr>
                    <w:jc w:val="center"/>
                    <w:rPr>
                      <w:highlight w:val="red"/>
                    </w:rPr>
                  </w:pPr>
                  <w:r>
                    <w:t>10</w:t>
                  </w:r>
                </w:p>
              </w:tc>
            </w:tr>
            <w:tr w:rsidR="003A55EE" w:rsidRPr="0081304D" w14:paraId="1E072399" w14:textId="77777777" w:rsidTr="00D8288B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A253F" w14:textId="77777777" w:rsidR="003A55EE" w:rsidRPr="0081304D" w:rsidRDefault="00A23EBA" w:rsidP="003A55EE">
                  <w:r w:rsidRPr="0081304D">
                    <w:t>Broj zaposlenika koji su upućeni na sistematski pregled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3BAC1" w14:textId="77777777" w:rsidR="003A55EE" w:rsidRPr="0081304D" w:rsidRDefault="00A23EBA" w:rsidP="003A55EE">
                  <w:pPr>
                    <w:jc w:val="center"/>
                  </w:pPr>
                  <w:r w:rsidRPr="0081304D"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41ED" w14:textId="38C8B79B" w:rsidR="003A55EE" w:rsidRPr="0081304D" w:rsidRDefault="0060565D" w:rsidP="003A55EE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DE355" w14:textId="782886C2" w:rsidR="003A55EE" w:rsidRPr="0081304D" w:rsidRDefault="0060565D" w:rsidP="003A55EE">
                  <w:pPr>
                    <w:jc w:val="center"/>
                  </w:pPr>
                  <w:r>
                    <w:t>23</w:t>
                  </w:r>
                </w:p>
              </w:tc>
            </w:tr>
            <w:tr w:rsidR="003A55EE" w:rsidRPr="0081304D" w14:paraId="77AB1907" w14:textId="77777777" w:rsidTr="00D8288B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D77C1" w14:textId="77777777" w:rsidR="003A55EE" w:rsidRPr="0081304D" w:rsidRDefault="00A23EBA" w:rsidP="003A55EE">
                  <w:r w:rsidRPr="0081304D">
                    <w:t>Broj nabavljene uredske opreme za opremanje učionica, ureda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7F26B" w14:textId="77777777" w:rsidR="003A55EE" w:rsidRPr="0081304D" w:rsidRDefault="00A23EBA" w:rsidP="003A55EE">
                  <w:pPr>
                    <w:jc w:val="center"/>
                  </w:pPr>
                  <w:r w:rsidRPr="0081304D"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BBB67" w14:textId="77777777" w:rsidR="003A55EE" w:rsidRPr="0081304D" w:rsidRDefault="00A23EBA" w:rsidP="003A55EE">
                  <w:pPr>
                    <w:jc w:val="center"/>
                  </w:pPr>
                  <w:r w:rsidRPr="0081304D">
                    <w:t>3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131A9" w14:textId="77777777" w:rsidR="003A55EE" w:rsidRPr="0081304D" w:rsidRDefault="00A23EBA" w:rsidP="003A55EE">
                  <w:pPr>
                    <w:jc w:val="center"/>
                  </w:pPr>
                  <w:r w:rsidRPr="0081304D">
                    <w:t>2</w:t>
                  </w:r>
                </w:p>
              </w:tc>
            </w:tr>
          </w:tbl>
          <w:p w14:paraId="79EC0C50" w14:textId="77777777" w:rsidR="003A55EE" w:rsidRPr="0081304D" w:rsidRDefault="003A55EE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6FA1531E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1AFEA20F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359BCC2D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34F4B310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2A86490D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7CAD4233" w14:textId="77777777" w:rsidR="00D8288B" w:rsidRPr="0081304D" w:rsidRDefault="00D8288B" w:rsidP="003A55EE">
            <w:pPr>
              <w:jc w:val="both"/>
              <w:rPr>
                <w:bCs/>
                <w:sz w:val="20"/>
                <w:szCs w:val="20"/>
              </w:rPr>
            </w:pPr>
          </w:p>
          <w:p w14:paraId="4DB77ADE" w14:textId="77777777" w:rsidR="00A4401B" w:rsidRPr="0081304D" w:rsidRDefault="00A4401B" w:rsidP="00D8288B">
            <w:pPr>
              <w:jc w:val="both"/>
              <w:rPr>
                <w:b/>
              </w:rPr>
            </w:pPr>
          </w:p>
          <w:p w14:paraId="0B2E1B6E" w14:textId="12F1700A" w:rsidR="00D8288B" w:rsidRPr="0081304D" w:rsidRDefault="00D8288B" w:rsidP="00D8288B">
            <w:pPr>
              <w:jc w:val="both"/>
              <w:rPr>
                <w:b/>
              </w:rPr>
            </w:pPr>
            <w:r w:rsidRPr="0081304D">
              <w:rPr>
                <w:b/>
              </w:rPr>
              <w:t>7011 FINANCIRANJE ŠKOLSTVA IZVAN ŽUPANIJSKOG PRORAČUNA</w:t>
            </w:r>
          </w:p>
          <w:p w14:paraId="02DEF9B8" w14:textId="77777777" w:rsidR="00D8288B" w:rsidRPr="0081304D" w:rsidRDefault="00D8288B" w:rsidP="00D8288B">
            <w:pPr>
              <w:jc w:val="both"/>
              <w:rPr>
                <w:b/>
              </w:rPr>
            </w:pPr>
          </w:p>
          <w:p w14:paraId="3F1EC882" w14:textId="77777777" w:rsidR="00D8288B" w:rsidRPr="0081304D" w:rsidRDefault="00D8288B" w:rsidP="00D8288B">
            <w:pPr>
              <w:jc w:val="both"/>
              <w:rPr>
                <w:b/>
              </w:rPr>
            </w:pPr>
          </w:p>
          <w:p w14:paraId="1AFEF3B4" w14:textId="77777777" w:rsidR="00D8288B" w:rsidRPr="0081304D" w:rsidRDefault="00D8288B" w:rsidP="00D8288B">
            <w:pPr>
              <w:spacing w:line="276" w:lineRule="auto"/>
            </w:pPr>
            <w:r w:rsidRPr="0081304D">
              <w:t>Program se sastoji od projekta/aktivnosti Vlastiti prihodi. Ovim programom se financiraju rashodi nužni za realizaciju obrazovnog program koji se financiraju iz vlastitih prihoda, pomoći, prihoda za posebne namjene i donacija. Osiguravaju se sredstva za: materijalne rashode, financijske rashode, postrojenje i opremu, administrativno, tehničko i stručno osoblje, te program ERASMUS. Opći cilj je odgoj i obrazovanje učenika srednjih škola dok su posebni ciljevi stvaranje jednakih uvjeta školovanja na području cijele Osječko – baranjske županije koji zadovoljavaju Državni pedagoški standard srednjoškolskog sustava odgoja i obrazovanja .</w:t>
            </w:r>
          </w:p>
          <w:p w14:paraId="41D80E04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9E9030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60E4806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CEDC5B4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8C654B9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lastRenderedPageBreak/>
              <w:t xml:space="preserve">Zakon o odgoju i obrazovanju u osnovnoj i srednjoj školi </w:t>
            </w:r>
          </w:p>
          <w:p w14:paraId="3BACF7E0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>Državni pedagoški standard sustava odgoja i obrazovanja</w:t>
            </w:r>
          </w:p>
          <w:p w14:paraId="75AE2ED4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 xml:space="preserve">Zakon o plaćama u javnim službama </w:t>
            </w:r>
          </w:p>
          <w:p w14:paraId="36476EC8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 xml:space="preserve">Temeljni kolektivni ugovor </w:t>
            </w:r>
          </w:p>
          <w:p w14:paraId="6D71BA8E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 xml:space="preserve">Zakon o porezu na dohodak </w:t>
            </w:r>
          </w:p>
          <w:p w14:paraId="3F0ED9DD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 xml:space="preserve">Interni akti i pravilnici </w:t>
            </w:r>
          </w:p>
          <w:p w14:paraId="37C8CBED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>Zakon o tržištu rada</w:t>
            </w:r>
          </w:p>
          <w:p w14:paraId="2D44185E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>Pravilnik o načinu ostvarivanja i korištenja vlastitih prihoda</w:t>
            </w:r>
          </w:p>
          <w:p w14:paraId="28679CC0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>Javni pozivi na natječaje (maturalna putovanja)</w:t>
            </w:r>
          </w:p>
          <w:p w14:paraId="29F539FC" w14:textId="77777777" w:rsidR="00D8288B" w:rsidRPr="0081304D" w:rsidRDefault="00D8288B" w:rsidP="00D8288B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b/>
              </w:rPr>
            </w:pPr>
            <w:r w:rsidRPr="0081304D">
              <w:t xml:space="preserve">Ugovori s agencijama </w:t>
            </w:r>
          </w:p>
          <w:p w14:paraId="3FBE2FEB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DBB1B2B" w14:textId="77777777" w:rsidR="0020454C" w:rsidRDefault="0020454C" w:rsidP="00D8288B">
            <w:pPr>
              <w:rPr>
                <w:b/>
                <w:bCs/>
              </w:rPr>
            </w:pPr>
          </w:p>
          <w:p w14:paraId="306D0116" w14:textId="77777777" w:rsidR="0081304D" w:rsidRPr="0081304D" w:rsidRDefault="0081304D" w:rsidP="00D8288B">
            <w:pPr>
              <w:rPr>
                <w:b/>
                <w:bCs/>
              </w:rPr>
            </w:pPr>
          </w:p>
          <w:p w14:paraId="1ABB48A8" w14:textId="77CBBA68" w:rsidR="00D8288B" w:rsidRPr="0081304D" w:rsidRDefault="00D8288B" w:rsidP="00D8288B">
            <w:pPr>
              <w:rPr>
                <w:b/>
                <w:bCs/>
              </w:rPr>
            </w:pPr>
            <w:r w:rsidRPr="0081304D">
              <w:rPr>
                <w:b/>
                <w:bCs/>
              </w:rPr>
              <w:t>IZVRŠENJE RASHODA PO AKTIVNOSTIMA/PROJEKTIMA UNUTAR PROGRAMA:</w:t>
            </w:r>
          </w:p>
          <w:p w14:paraId="1DDF1F96" w14:textId="77777777" w:rsidR="00D8288B" w:rsidRPr="0081304D" w:rsidRDefault="00D8288B" w:rsidP="00D8288B">
            <w:pPr>
              <w:rPr>
                <w:b/>
                <w:bCs/>
              </w:rPr>
            </w:pPr>
          </w:p>
          <w:tbl>
            <w:tblPr>
              <w:tblW w:w="7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7"/>
              <w:gridCol w:w="2016"/>
              <w:gridCol w:w="1476"/>
              <w:gridCol w:w="1476"/>
              <w:gridCol w:w="1669"/>
            </w:tblGrid>
            <w:tr w:rsidR="00D8288B" w:rsidRPr="0081304D" w14:paraId="697824CF" w14:textId="77777777" w:rsidTr="00CA1700">
              <w:trPr>
                <w:cantSplit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B8D12" w14:textId="77777777" w:rsidR="00D8288B" w:rsidRPr="0081304D" w:rsidRDefault="00D8288B" w:rsidP="00D8288B">
                  <w:pPr>
                    <w:jc w:val="center"/>
                    <w:rPr>
                      <w:bCs/>
                    </w:rPr>
                  </w:pPr>
                  <w:proofErr w:type="spellStart"/>
                  <w:r w:rsidRPr="0081304D">
                    <w:rPr>
                      <w:bCs/>
                    </w:rPr>
                    <w:t>R.b</w:t>
                  </w:r>
                  <w:proofErr w:type="spellEnd"/>
                  <w:r w:rsidRPr="0081304D">
                    <w:rPr>
                      <w:bCs/>
                    </w:rPr>
                    <w:t>.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F9B46" w14:textId="77777777" w:rsidR="00D8288B" w:rsidRPr="0081304D" w:rsidRDefault="00D8288B" w:rsidP="00D8288B">
                  <w:pPr>
                    <w:jc w:val="center"/>
                    <w:rPr>
                      <w:bCs/>
                    </w:rPr>
                  </w:pPr>
                  <w:r w:rsidRPr="0081304D">
                    <w:rPr>
                      <w:bCs/>
                    </w:rPr>
                    <w:t>Naziv aktivnosti/projekta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47497" w14:textId="0AB7C098" w:rsidR="00D8288B" w:rsidRPr="0081304D" w:rsidRDefault="00D8288B" w:rsidP="00D8288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Plan 202</w:t>
                  </w:r>
                  <w:r w:rsidR="0060565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9AC7C" w14:textId="04425722" w:rsidR="00D8288B" w:rsidRPr="0081304D" w:rsidRDefault="00D8288B" w:rsidP="00D8288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Izvršenje 1.-.</w:t>
                  </w:r>
                  <w:r w:rsidR="00DD6CD8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06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.202</w:t>
                  </w:r>
                  <w:r w:rsidR="0060565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</w:t>
                  </w: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AE38B" w14:textId="77777777" w:rsidR="00D8288B" w:rsidRPr="0081304D" w:rsidRDefault="00D8288B" w:rsidP="00D8288B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1304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Indeks (Izvršenje/Plan</w:t>
                  </w:r>
                </w:p>
              </w:tc>
            </w:tr>
            <w:tr w:rsidR="00D8288B" w:rsidRPr="0081304D" w14:paraId="1E0E23D9" w14:textId="77777777" w:rsidTr="00CA1700">
              <w:trPr>
                <w:cantSplit/>
                <w:trHeight w:val="909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906D2" w14:textId="77777777" w:rsidR="00D8288B" w:rsidRPr="0081304D" w:rsidRDefault="00D8288B" w:rsidP="00D8288B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77629" w14:textId="77777777" w:rsidR="00D8288B" w:rsidRPr="0081304D" w:rsidRDefault="00D8288B" w:rsidP="00D8288B">
                  <w:r w:rsidRPr="0081304D">
                    <w:t>Vlastiti prihodi:</w:t>
                  </w:r>
                </w:p>
                <w:p w14:paraId="797CF4DB" w14:textId="77777777" w:rsidR="00D8288B" w:rsidRPr="0081304D" w:rsidRDefault="00D8288B" w:rsidP="00D8288B"/>
                <w:p w14:paraId="49CA8053" w14:textId="77777777" w:rsidR="00D8288B" w:rsidRPr="0081304D" w:rsidRDefault="00D8288B" w:rsidP="00D8288B">
                  <w:r w:rsidRPr="0081304D">
                    <w:t>Izvor 3210 Vlastiti prihodi</w:t>
                  </w:r>
                </w:p>
                <w:p w14:paraId="78A9D946" w14:textId="77777777" w:rsidR="00D8288B" w:rsidRPr="0081304D" w:rsidRDefault="00D8288B" w:rsidP="00D8288B"/>
                <w:p w14:paraId="27014C91" w14:textId="77777777" w:rsidR="00D8288B" w:rsidRPr="0081304D" w:rsidRDefault="00D8288B" w:rsidP="00D8288B">
                  <w:r w:rsidRPr="0081304D">
                    <w:t>Izvor 5410 Pomoći</w:t>
                  </w:r>
                </w:p>
                <w:p w14:paraId="77E30D25" w14:textId="77777777" w:rsidR="00D8288B" w:rsidRPr="0081304D" w:rsidRDefault="00D8288B" w:rsidP="00D8288B"/>
                <w:p w14:paraId="5C7C46AA" w14:textId="77777777" w:rsidR="00D8288B" w:rsidRPr="0081304D" w:rsidRDefault="00D8288B" w:rsidP="00D8288B">
                  <w:r w:rsidRPr="0081304D">
                    <w:t>Izvor 6210 Ugovori donacije - korisnici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AFDC46" w14:textId="5AC7B1FA" w:rsidR="00D8288B" w:rsidRPr="0081304D" w:rsidRDefault="0060565D" w:rsidP="00D8288B">
                  <w:r>
                    <w:t>40.964</w:t>
                  </w:r>
                  <w:r w:rsidR="00DD6CD8">
                    <w:t>,00</w:t>
                  </w:r>
                </w:p>
                <w:p w14:paraId="43A22E37" w14:textId="77777777" w:rsidR="00D8288B" w:rsidRPr="0081304D" w:rsidRDefault="00D8288B" w:rsidP="00D8288B"/>
                <w:p w14:paraId="3FD3C414" w14:textId="77777777" w:rsidR="00D8288B" w:rsidRPr="0081304D" w:rsidRDefault="00D8288B" w:rsidP="00D8288B"/>
                <w:p w14:paraId="3A1613C6" w14:textId="35287DD6" w:rsidR="00D8288B" w:rsidRPr="0081304D" w:rsidRDefault="0060565D" w:rsidP="00D8288B">
                  <w:r>
                    <w:t>1.535.777,00</w:t>
                  </w:r>
                </w:p>
                <w:p w14:paraId="7C016AF8" w14:textId="77777777" w:rsidR="00D8288B" w:rsidRPr="0081304D" w:rsidRDefault="00D8288B" w:rsidP="00D8288B"/>
                <w:p w14:paraId="5D719657" w14:textId="46AB790C" w:rsidR="00D8288B" w:rsidRPr="0081304D" w:rsidRDefault="00C35683" w:rsidP="00D8288B">
                  <w:r>
                    <w:t>2.600</w:t>
                  </w:r>
                  <w:r w:rsidR="00DD6CD8">
                    <w:t>,00</w:t>
                  </w:r>
                </w:p>
                <w:p w14:paraId="69A17752" w14:textId="77777777" w:rsidR="00D8288B" w:rsidRPr="0081304D" w:rsidRDefault="00D8288B" w:rsidP="00D8288B"/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B7E52" w14:textId="24C7B11E" w:rsidR="00D8288B" w:rsidRPr="0081304D" w:rsidRDefault="0060565D" w:rsidP="00D8288B">
                  <w:r>
                    <w:t>40.938,00</w:t>
                  </w:r>
                </w:p>
                <w:p w14:paraId="20DA0175" w14:textId="77777777" w:rsidR="00D8288B" w:rsidRPr="0081304D" w:rsidRDefault="00D8288B" w:rsidP="00D8288B"/>
                <w:p w14:paraId="6676AE1B" w14:textId="77777777" w:rsidR="00D8288B" w:rsidRPr="0081304D" w:rsidRDefault="00D8288B" w:rsidP="00D8288B"/>
                <w:p w14:paraId="68A96D27" w14:textId="2572137C" w:rsidR="00DD6CD8" w:rsidRPr="0081304D" w:rsidRDefault="0060565D" w:rsidP="00D8288B">
                  <w:r>
                    <w:t>1.183.457,32</w:t>
                  </w:r>
                </w:p>
                <w:p w14:paraId="5BB99E1D" w14:textId="77777777" w:rsidR="00D8288B" w:rsidRPr="0081304D" w:rsidRDefault="00D8288B" w:rsidP="00D8288B"/>
                <w:p w14:paraId="7AF3A9C1" w14:textId="5C9BB6A9" w:rsidR="00D8288B" w:rsidRPr="0081304D" w:rsidRDefault="00DD6CD8" w:rsidP="00D8288B">
                  <w:r>
                    <w:t>0,00</w:t>
                  </w:r>
                </w:p>
                <w:p w14:paraId="70C44E8A" w14:textId="77777777" w:rsidR="00D8288B" w:rsidRPr="0081304D" w:rsidRDefault="00D8288B" w:rsidP="00D8288B">
                  <w:r w:rsidRPr="0081304D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060709" w14:textId="146B4F2A" w:rsidR="00D8288B" w:rsidRPr="0081304D" w:rsidRDefault="0060565D" w:rsidP="00D8288B">
                  <w:r>
                    <w:t>99.94</w:t>
                  </w:r>
                  <w:r w:rsidR="0020454C" w:rsidRPr="0081304D">
                    <w:t xml:space="preserve"> </w:t>
                  </w:r>
                  <w:r w:rsidR="00D8288B" w:rsidRPr="0081304D">
                    <w:t>%</w:t>
                  </w:r>
                </w:p>
                <w:p w14:paraId="2048A456" w14:textId="77777777" w:rsidR="00D8288B" w:rsidRPr="0081304D" w:rsidRDefault="00D8288B" w:rsidP="00D8288B"/>
                <w:p w14:paraId="1DD53656" w14:textId="77777777" w:rsidR="00D8288B" w:rsidRPr="0081304D" w:rsidRDefault="00D8288B" w:rsidP="00D8288B"/>
                <w:p w14:paraId="17923279" w14:textId="22BAAC21" w:rsidR="00D8288B" w:rsidRPr="0081304D" w:rsidRDefault="00C35683" w:rsidP="00D8288B">
                  <w:r>
                    <w:t>77,06</w:t>
                  </w:r>
                  <w:r w:rsidR="0020454C" w:rsidRPr="0081304D">
                    <w:t xml:space="preserve"> </w:t>
                  </w:r>
                  <w:r w:rsidR="00D8288B" w:rsidRPr="0081304D">
                    <w:t>%</w:t>
                  </w:r>
                </w:p>
                <w:p w14:paraId="5EA70C65" w14:textId="77777777" w:rsidR="00D8288B" w:rsidRPr="0081304D" w:rsidRDefault="00D8288B" w:rsidP="00D8288B"/>
                <w:p w14:paraId="4993609F" w14:textId="5E1723FD" w:rsidR="00D8288B" w:rsidRPr="0081304D" w:rsidRDefault="00DD6CD8" w:rsidP="00D8288B">
                  <w:r>
                    <w:t>0,00</w:t>
                  </w:r>
                  <w:r w:rsidR="0020454C" w:rsidRPr="0081304D">
                    <w:t xml:space="preserve"> </w:t>
                  </w:r>
                  <w:r w:rsidR="00D8288B" w:rsidRPr="0081304D">
                    <w:t>%</w:t>
                  </w:r>
                </w:p>
                <w:p w14:paraId="35EE9D1D" w14:textId="77777777" w:rsidR="00D8288B" w:rsidRPr="0081304D" w:rsidRDefault="00D8288B" w:rsidP="00D8288B"/>
              </w:tc>
            </w:tr>
            <w:tr w:rsidR="00D8288B" w:rsidRPr="0081304D" w14:paraId="0CE403FF" w14:textId="77777777" w:rsidTr="00CA1700">
              <w:trPr>
                <w:cantSplit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20C28" w14:textId="77777777" w:rsidR="00D8288B" w:rsidRPr="0081304D" w:rsidRDefault="00D8288B" w:rsidP="00D8288B">
                  <w:pPr>
                    <w:rPr>
                      <w:bCs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2994" w14:textId="77777777" w:rsidR="00D8288B" w:rsidRPr="0081304D" w:rsidRDefault="00D8288B" w:rsidP="00D8288B">
                  <w:pPr>
                    <w:rPr>
                      <w:bCs/>
                    </w:rPr>
                  </w:pPr>
                  <w:r w:rsidRPr="0081304D">
                    <w:rPr>
                      <w:bCs/>
                    </w:rPr>
                    <w:t>Ukupno program: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5D04CE" w14:textId="43103A44" w:rsidR="00D8288B" w:rsidRPr="0081304D" w:rsidRDefault="0060565D" w:rsidP="00D8288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1.579.341,00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8E3E35" w14:textId="05F3A4A5" w:rsidR="00D8288B" w:rsidRPr="0081304D" w:rsidRDefault="0060565D" w:rsidP="00D8288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1.224.395,56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F55C56" w14:textId="5E5CDA52" w:rsidR="00D8288B" w:rsidRPr="0081304D" w:rsidRDefault="0060565D" w:rsidP="00D8288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77,53</w:t>
                  </w:r>
                  <w:r w:rsidR="00D8288B" w:rsidRPr="0081304D">
                    <w:rPr>
                      <w:b/>
                      <w:bCs/>
                    </w:rPr>
                    <w:t>%</w:t>
                  </w:r>
                </w:p>
              </w:tc>
            </w:tr>
          </w:tbl>
          <w:p w14:paraId="2279FC52" w14:textId="77777777" w:rsidR="00D8288B" w:rsidRPr="0081304D" w:rsidRDefault="00D8288B" w:rsidP="00D8288B">
            <w:pPr>
              <w:rPr>
                <w:b/>
                <w:bCs/>
              </w:rPr>
            </w:pPr>
          </w:p>
          <w:p w14:paraId="3CD18F7C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E7A5CA4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740DC30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E4C0AC3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585AA32" w14:textId="7A80C2E3" w:rsidR="00D8288B" w:rsidRPr="0081304D" w:rsidRDefault="00D8288B" w:rsidP="00D8288B">
            <w:pPr>
              <w:spacing w:line="276" w:lineRule="auto"/>
              <w:textAlignment w:val="baseline"/>
            </w:pPr>
            <w:r w:rsidRPr="0081304D">
              <w:t xml:space="preserve">Program je ostvaren u iznosu od </w:t>
            </w:r>
            <w:r w:rsidR="00C35683">
              <w:t>1.224.395,56</w:t>
            </w:r>
            <w:r w:rsidRPr="0081304D">
              <w:t xml:space="preserve"> € ili </w:t>
            </w:r>
            <w:r w:rsidR="00C35683">
              <w:t>77,53</w:t>
            </w:r>
            <w:r w:rsidRPr="0081304D">
              <w:t xml:space="preserve"> % u odnosu na godišnji plan. Planirane aktivnosti i projekti izvršeni su u skladu sa planiranom dinamikom. </w:t>
            </w:r>
          </w:p>
          <w:p w14:paraId="43DEFCB5" w14:textId="12238F3C" w:rsidR="00D8288B" w:rsidRPr="0081304D" w:rsidRDefault="00D8288B" w:rsidP="00D8288B">
            <w:pPr>
              <w:spacing w:line="276" w:lineRule="auto"/>
              <w:textAlignment w:val="baseline"/>
              <w:rPr>
                <w:i/>
              </w:rPr>
            </w:pPr>
            <w:r w:rsidRPr="0081304D">
              <w:t xml:space="preserve">Vlastite prihode ostvarujemo najmom školske dvorane, vanjskog nogometnog terena i najmom dijela zgrade Kineziološkom fakultetu. </w:t>
            </w:r>
            <w:r w:rsidR="00DD6CD8">
              <w:t xml:space="preserve">Ove godine nije bilo ugovora sa agencija za učenička putovanja stoga izvršenja nije bilo. </w:t>
            </w:r>
            <w:r w:rsidR="00D309C4" w:rsidRPr="0081304D">
              <w:t>Svim profesorima i stručnim suradnicima koji su htjeli prisustvovati stručnim skupovima i edukacijama omogućen je odlazak na isto.</w:t>
            </w:r>
          </w:p>
          <w:p w14:paraId="5C917C9A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465F969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71E0656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C945147" w14:textId="77777777" w:rsidR="00400281" w:rsidRPr="0081304D" w:rsidRDefault="00400281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559"/>
              <w:gridCol w:w="1276"/>
              <w:gridCol w:w="1189"/>
            </w:tblGrid>
            <w:tr w:rsidR="00D8288B" w:rsidRPr="0081304D" w14:paraId="1FB77415" w14:textId="77777777" w:rsidTr="00CA170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EF6D8" w14:textId="77777777" w:rsidR="00D8288B" w:rsidRPr="0081304D" w:rsidRDefault="00D8288B" w:rsidP="00D8288B">
                  <w:pPr>
                    <w:jc w:val="center"/>
                    <w:rPr>
                      <w:bCs/>
                    </w:rPr>
                  </w:pPr>
                  <w:r w:rsidRPr="0081304D">
                    <w:rPr>
                      <w:bCs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0A572" w14:textId="77777777" w:rsidR="00D8288B" w:rsidRPr="0081304D" w:rsidRDefault="00D8288B" w:rsidP="00D8288B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Polazna</w:t>
                  </w:r>
                </w:p>
                <w:p w14:paraId="00E7CC40" w14:textId="77777777" w:rsidR="00D8288B" w:rsidRPr="0081304D" w:rsidRDefault="00D8288B" w:rsidP="00D8288B">
                  <w:pPr>
                    <w:jc w:val="center"/>
                  </w:pPr>
                  <w:r w:rsidRPr="0081304D"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371D0" w14:textId="77777777" w:rsidR="00D8288B" w:rsidRPr="0081304D" w:rsidRDefault="00D8288B" w:rsidP="00D8288B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Ciljana</w:t>
                  </w:r>
                </w:p>
                <w:p w14:paraId="4E822C1A" w14:textId="77777777" w:rsidR="00D8288B" w:rsidRPr="0081304D" w:rsidRDefault="00D8288B" w:rsidP="00D8288B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vrijednost</w:t>
                  </w:r>
                </w:p>
                <w:p w14:paraId="72E2CA31" w14:textId="6ED53DF1" w:rsidR="00D8288B" w:rsidRPr="0081304D" w:rsidRDefault="00D8288B" w:rsidP="00C35683">
                  <w:pPr>
                    <w:keepNext/>
                    <w:jc w:val="center"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202</w:t>
                  </w:r>
                  <w:r w:rsidR="00C35683">
                    <w:rPr>
                      <w:bCs/>
                    </w:rPr>
                    <w:t>5</w:t>
                  </w:r>
                  <w:r w:rsidRPr="0081304D">
                    <w:rPr>
                      <w:bCs/>
                    </w:rPr>
                    <w:t>.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3B776" w14:textId="77777777" w:rsidR="00D8288B" w:rsidRPr="0081304D" w:rsidRDefault="00D8288B" w:rsidP="00D8288B">
                  <w:pPr>
                    <w:keepNext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Ostvarena</w:t>
                  </w:r>
                </w:p>
                <w:p w14:paraId="4F51CE82" w14:textId="77777777" w:rsidR="00D8288B" w:rsidRPr="0081304D" w:rsidRDefault="00D8288B" w:rsidP="00D8288B">
                  <w:pPr>
                    <w:keepNext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vrijednost</w:t>
                  </w:r>
                </w:p>
                <w:p w14:paraId="106C2440" w14:textId="5FD11730" w:rsidR="00D8288B" w:rsidRPr="0081304D" w:rsidRDefault="00D8288B" w:rsidP="00D8288B">
                  <w:pPr>
                    <w:keepNext/>
                    <w:outlineLvl w:val="6"/>
                    <w:rPr>
                      <w:bCs/>
                    </w:rPr>
                  </w:pPr>
                  <w:r w:rsidRPr="0081304D">
                    <w:rPr>
                      <w:bCs/>
                    </w:rPr>
                    <w:t>1.-</w:t>
                  </w:r>
                  <w:r w:rsidR="00DD6CD8">
                    <w:rPr>
                      <w:bCs/>
                    </w:rPr>
                    <w:t>06</w:t>
                  </w:r>
                  <w:r w:rsidRPr="0081304D">
                    <w:rPr>
                      <w:bCs/>
                    </w:rPr>
                    <w:t>. 202</w:t>
                  </w:r>
                  <w:r w:rsidR="00C35683">
                    <w:rPr>
                      <w:bCs/>
                    </w:rPr>
                    <w:t>5</w:t>
                  </w:r>
                  <w:r w:rsidRPr="0081304D">
                    <w:rPr>
                      <w:bCs/>
                    </w:rPr>
                    <w:t>.</w:t>
                  </w:r>
                </w:p>
              </w:tc>
            </w:tr>
            <w:tr w:rsidR="00D8288B" w:rsidRPr="0081304D" w14:paraId="19F3BB8A" w14:textId="77777777" w:rsidTr="00CA170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D1262" w14:textId="77777777" w:rsidR="00D8288B" w:rsidRPr="0081304D" w:rsidRDefault="005E5CB1" w:rsidP="00D8288B">
                  <w:r w:rsidRPr="0081304D">
                    <w:t>Broj edukacija učitelja i stručnih suradnika</w:t>
                  </w:r>
                  <w:r w:rsidR="00D8288B" w:rsidRPr="0081304D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721C1" w14:textId="77777777" w:rsidR="005E5CB1" w:rsidRPr="0081304D" w:rsidRDefault="005E5CB1" w:rsidP="005E5CB1">
                  <w:pPr>
                    <w:jc w:val="center"/>
                  </w:pPr>
                  <w:r w:rsidRPr="0081304D"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6AF06" w14:textId="77777777" w:rsidR="00D8288B" w:rsidRPr="0081304D" w:rsidRDefault="005E5CB1" w:rsidP="00D8288B">
                  <w:pPr>
                    <w:jc w:val="center"/>
                    <w:rPr>
                      <w:highlight w:val="red"/>
                    </w:rPr>
                  </w:pPr>
                  <w:r w:rsidRPr="0081304D">
                    <w:t>10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53EB6" w14:textId="4C2AC0D7" w:rsidR="00D8288B" w:rsidRPr="0081304D" w:rsidRDefault="00DD6CD8" w:rsidP="00D8288B">
                  <w:pPr>
                    <w:jc w:val="center"/>
                    <w:rPr>
                      <w:highlight w:val="red"/>
                    </w:rPr>
                  </w:pPr>
                  <w:r>
                    <w:t>7</w:t>
                  </w:r>
                </w:p>
              </w:tc>
            </w:tr>
            <w:tr w:rsidR="00D8288B" w:rsidRPr="0081304D" w14:paraId="465DC9E0" w14:textId="77777777" w:rsidTr="00CA170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E546E" w14:textId="77777777" w:rsidR="00D8288B" w:rsidRPr="0081304D" w:rsidRDefault="005E5CB1" w:rsidP="00D8288B">
                  <w:r w:rsidRPr="0081304D">
                    <w:t>Broj projekata koje škola provodi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9DBC0" w14:textId="77777777" w:rsidR="00D8288B" w:rsidRPr="0081304D" w:rsidRDefault="005E5CB1" w:rsidP="00D8288B">
                  <w:pPr>
                    <w:jc w:val="center"/>
                  </w:pPr>
                  <w:r w:rsidRPr="0081304D"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01BC9" w14:textId="77777777" w:rsidR="00D8288B" w:rsidRPr="0081304D" w:rsidRDefault="005E5CB1" w:rsidP="00D8288B">
                  <w:pPr>
                    <w:jc w:val="center"/>
                  </w:pPr>
                  <w:r w:rsidRPr="0081304D">
                    <w:t>3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6A8FC" w14:textId="77777777" w:rsidR="00D8288B" w:rsidRPr="0081304D" w:rsidRDefault="005E5CB1" w:rsidP="00D8288B">
                  <w:pPr>
                    <w:jc w:val="center"/>
                  </w:pPr>
                  <w:r w:rsidRPr="0081304D">
                    <w:t>3</w:t>
                  </w:r>
                </w:p>
              </w:tc>
            </w:tr>
            <w:tr w:rsidR="00D8288B" w:rsidRPr="0081304D" w14:paraId="1B97BBD6" w14:textId="77777777" w:rsidTr="00CA170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679CF" w14:textId="77777777" w:rsidR="00D8288B" w:rsidRPr="0081304D" w:rsidRDefault="005E5CB1" w:rsidP="00D8288B">
                  <w:r w:rsidRPr="0081304D">
                    <w:t>Broj učenika uključenih u različite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BAF19" w14:textId="77777777" w:rsidR="00D8288B" w:rsidRPr="0081304D" w:rsidRDefault="005E5CB1" w:rsidP="00D8288B">
                  <w:pPr>
                    <w:jc w:val="center"/>
                  </w:pPr>
                  <w:r w:rsidRPr="0081304D"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9350F" w14:textId="77777777" w:rsidR="00D8288B" w:rsidRPr="0081304D" w:rsidRDefault="005E5CB1" w:rsidP="00D8288B">
                  <w:pPr>
                    <w:jc w:val="center"/>
                  </w:pPr>
                  <w:r w:rsidRPr="0081304D">
                    <w:t>65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57EA2" w14:textId="1E3B98AB" w:rsidR="005E5CB1" w:rsidRPr="0081304D" w:rsidRDefault="00DD6CD8" w:rsidP="005E5CB1">
                  <w:pPr>
                    <w:jc w:val="center"/>
                  </w:pPr>
                  <w:r>
                    <w:t>79</w:t>
                  </w:r>
                </w:p>
              </w:tc>
            </w:tr>
            <w:tr w:rsidR="005E5CB1" w:rsidRPr="0081304D" w14:paraId="6F370462" w14:textId="77777777" w:rsidTr="00CA1700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DAFF3" w14:textId="77777777" w:rsidR="005E5CB1" w:rsidRPr="0081304D" w:rsidRDefault="005E5CB1" w:rsidP="005E5CB1">
                  <w:r w:rsidRPr="0081304D">
                    <w:t>Broj nastavnika/stručnih suradnika uključenih u različite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3C163" w14:textId="77777777" w:rsidR="005E5CB1" w:rsidRPr="0081304D" w:rsidRDefault="005E5CB1" w:rsidP="005E5CB1">
                  <w:pPr>
                    <w:jc w:val="center"/>
                  </w:pPr>
                  <w:r w:rsidRPr="0081304D"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ED114" w14:textId="25A378FA" w:rsidR="005E5CB1" w:rsidRPr="0081304D" w:rsidRDefault="005E5CB1" w:rsidP="005E5CB1">
                  <w:pPr>
                    <w:jc w:val="center"/>
                  </w:pPr>
                  <w:r w:rsidRPr="0081304D">
                    <w:t>2</w:t>
                  </w:r>
                  <w:r w:rsidR="00DD6CD8">
                    <w:t>4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7A523" w14:textId="38165A63" w:rsidR="005E5CB1" w:rsidRPr="0081304D" w:rsidRDefault="005E5CB1" w:rsidP="005E5CB1">
                  <w:pPr>
                    <w:jc w:val="center"/>
                  </w:pPr>
                  <w:r w:rsidRPr="0081304D">
                    <w:t>2</w:t>
                  </w:r>
                  <w:r w:rsidR="00DD6CD8">
                    <w:t>6</w:t>
                  </w:r>
                </w:p>
              </w:tc>
            </w:tr>
          </w:tbl>
          <w:p w14:paraId="2CB0072F" w14:textId="77777777" w:rsidR="00D8288B" w:rsidRPr="0081304D" w:rsidRDefault="00D8288B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81058FB" w14:textId="77777777" w:rsidR="00400281" w:rsidRPr="0081304D" w:rsidRDefault="00400281" w:rsidP="00D8288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6329D41" w14:textId="77777777" w:rsidR="00400281" w:rsidRPr="0081304D" w:rsidRDefault="00400281" w:rsidP="00400281">
            <w:pPr>
              <w:rPr>
                <w:sz w:val="20"/>
                <w:szCs w:val="20"/>
              </w:rPr>
            </w:pPr>
          </w:p>
          <w:p w14:paraId="7EC79B0E" w14:textId="77777777" w:rsidR="00400281" w:rsidRPr="0081304D" w:rsidRDefault="00400281" w:rsidP="00400281">
            <w:pPr>
              <w:rPr>
                <w:sz w:val="20"/>
                <w:szCs w:val="20"/>
              </w:rPr>
            </w:pPr>
          </w:p>
          <w:p w14:paraId="4A945D20" w14:textId="77777777" w:rsidR="00D8288B" w:rsidRPr="0081304D" w:rsidRDefault="00D8288B" w:rsidP="00400281">
            <w:pPr>
              <w:rPr>
                <w:sz w:val="20"/>
                <w:szCs w:val="20"/>
              </w:rPr>
            </w:pPr>
          </w:p>
        </w:tc>
      </w:tr>
    </w:tbl>
    <w:p w14:paraId="07992F03" w14:textId="77777777" w:rsidR="003A55EE" w:rsidRDefault="003A55EE"/>
    <w:p w14:paraId="1AAD3A9E" w14:textId="77777777" w:rsidR="005E6335" w:rsidRDefault="005E6335"/>
    <w:p w14:paraId="02AE7F8B" w14:textId="77777777" w:rsidR="005E6335" w:rsidRDefault="005E6335"/>
    <w:p w14:paraId="7B5F9730" w14:textId="77777777" w:rsidR="005E6335" w:rsidRDefault="005E6335" w:rsidP="005E6335">
      <w:r>
        <w:t xml:space="preserve">                                      </w:t>
      </w:r>
    </w:p>
    <w:p w14:paraId="1EC16EF2" w14:textId="77777777" w:rsidR="00A463FD" w:rsidRDefault="00A463FD" w:rsidP="008D59D2"/>
    <w:p w14:paraId="48FDABF8" w14:textId="77777777" w:rsidR="00A463FD" w:rsidRDefault="00A463FD" w:rsidP="008D59D2"/>
    <w:p w14:paraId="175158CE" w14:textId="77777777" w:rsidR="00A463FD" w:rsidRDefault="00A463FD" w:rsidP="008D59D2"/>
    <w:p w14:paraId="78631A3B" w14:textId="77777777" w:rsidR="00A463FD" w:rsidRDefault="00A463FD" w:rsidP="008D59D2"/>
    <w:p w14:paraId="41F4F285" w14:textId="77777777" w:rsidR="00A463FD" w:rsidRDefault="00A463FD" w:rsidP="008D59D2"/>
    <w:p w14:paraId="00BEA4AF" w14:textId="77777777" w:rsidR="00A463FD" w:rsidRDefault="00A463FD" w:rsidP="008D59D2"/>
    <w:p w14:paraId="6E5D75D4" w14:textId="77777777" w:rsidR="00A463FD" w:rsidRDefault="00A463FD" w:rsidP="008D59D2"/>
    <w:p w14:paraId="0D18A515" w14:textId="77777777" w:rsidR="00A463FD" w:rsidRDefault="00A463FD" w:rsidP="008D59D2"/>
    <w:p w14:paraId="5EBD64C8" w14:textId="77777777" w:rsidR="00A463FD" w:rsidRDefault="00A463FD" w:rsidP="008D59D2"/>
    <w:p w14:paraId="28A36DD1" w14:textId="77777777" w:rsidR="00A463FD" w:rsidRDefault="00A463FD" w:rsidP="008D59D2"/>
    <w:p w14:paraId="67E92CD6" w14:textId="77777777" w:rsidR="00A463FD" w:rsidRDefault="00A463FD" w:rsidP="008D59D2"/>
    <w:p w14:paraId="35F164C6" w14:textId="77777777" w:rsidR="00A463FD" w:rsidRDefault="00A463FD" w:rsidP="008D59D2"/>
    <w:p w14:paraId="76B62C3C" w14:textId="77777777" w:rsidR="00A463FD" w:rsidRDefault="00A463FD" w:rsidP="008D59D2"/>
    <w:p w14:paraId="3D316486" w14:textId="77777777" w:rsidR="00A463FD" w:rsidRDefault="00A463FD" w:rsidP="008D59D2"/>
    <w:p w14:paraId="76F5A645" w14:textId="77777777" w:rsidR="00A463FD" w:rsidRDefault="00A463FD" w:rsidP="008D59D2"/>
    <w:p w14:paraId="0705AD17" w14:textId="77777777" w:rsidR="00A463FD" w:rsidRDefault="00A463FD" w:rsidP="008D59D2"/>
    <w:p w14:paraId="1B1535CE" w14:textId="77777777" w:rsidR="00A463FD" w:rsidRDefault="00A463FD" w:rsidP="008D59D2"/>
    <w:p w14:paraId="6BA2103A" w14:textId="77777777" w:rsidR="00A463FD" w:rsidRDefault="00A463FD" w:rsidP="008D59D2"/>
    <w:p w14:paraId="415BB70A" w14:textId="77777777" w:rsidR="00A463FD" w:rsidRDefault="00A463FD" w:rsidP="008D59D2"/>
    <w:p w14:paraId="21C58AD4" w14:textId="77777777" w:rsidR="00A463FD" w:rsidRDefault="00A463FD" w:rsidP="008D59D2"/>
    <w:p w14:paraId="671DCDE8" w14:textId="77777777" w:rsidR="00A463FD" w:rsidRDefault="00A463FD" w:rsidP="008D59D2"/>
    <w:p w14:paraId="06A8D384" w14:textId="77777777" w:rsidR="003866A1" w:rsidRDefault="003866A1" w:rsidP="008D59D2">
      <w:pPr>
        <w:rPr>
          <w:b/>
        </w:rPr>
      </w:pPr>
    </w:p>
    <w:p w14:paraId="643C60E5" w14:textId="77777777" w:rsidR="00443BE9" w:rsidRDefault="00443BE9" w:rsidP="008D59D2">
      <w:pPr>
        <w:rPr>
          <w:b/>
        </w:rPr>
      </w:pPr>
    </w:p>
    <w:p w14:paraId="24C60B25" w14:textId="52A45DA1" w:rsidR="008D59D2" w:rsidRPr="008D59D2" w:rsidRDefault="008D59D2" w:rsidP="008D59D2">
      <w:pPr>
        <w:rPr>
          <w:b/>
          <w:sz w:val="22"/>
          <w:szCs w:val="22"/>
        </w:rPr>
      </w:pPr>
      <w:r w:rsidRPr="008D59D2">
        <w:rPr>
          <w:b/>
        </w:rPr>
        <w:lastRenderedPageBreak/>
        <w:t>POSEBNI IZVJEŠTAJI U POLUGODIŠNJEM IZVJEŠTAJU O IZVRŠENJU FINANCIJSKOG PLANA</w:t>
      </w:r>
    </w:p>
    <w:p w14:paraId="5CA64A81" w14:textId="77777777" w:rsidR="008D59D2" w:rsidRPr="008D59D2" w:rsidRDefault="008D59D2" w:rsidP="008D59D2"/>
    <w:p w14:paraId="012F1411" w14:textId="77777777" w:rsidR="00254BEB" w:rsidRPr="003219C0" w:rsidRDefault="00254BEB" w:rsidP="00254BEB">
      <w:pPr>
        <w:spacing w:line="276" w:lineRule="auto"/>
        <w:rPr>
          <w:lang w:eastAsia="en-US"/>
        </w:rPr>
      </w:pPr>
      <w:r>
        <w:t>Škola nema zaduživanja na domaćem i stranom tržištu kapitala.</w:t>
      </w:r>
    </w:p>
    <w:p w14:paraId="06218933" w14:textId="77777777" w:rsidR="00254BEB" w:rsidRPr="005F309F" w:rsidRDefault="00254BEB" w:rsidP="00254BEB">
      <w:pPr>
        <w:jc w:val="both"/>
        <w:rPr>
          <w:color w:val="000000"/>
          <w:sz w:val="22"/>
          <w:szCs w:val="22"/>
        </w:rPr>
      </w:pPr>
    </w:p>
    <w:p w14:paraId="4F9925C5" w14:textId="77777777" w:rsidR="00254BEB" w:rsidRPr="00D615DF" w:rsidRDefault="00254BEB" w:rsidP="00254BEB">
      <w:pPr>
        <w:tabs>
          <w:tab w:val="center" w:pos="4536"/>
          <w:tab w:val="right" w:pos="9072"/>
        </w:tabs>
        <w:rPr>
          <w:rFonts w:eastAsia="Calibri"/>
          <w:sz w:val="20"/>
          <w:szCs w:val="20"/>
        </w:rPr>
      </w:pPr>
    </w:p>
    <w:p w14:paraId="76A17FEE" w14:textId="77777777" w:rsidR="00A463FD" w:rsidRDefault="00A463FD" w:rsidP="008D59D2">
      <w:pPr>
        <w:shd w:val="clear" w:color="auto" w:fill="FFFFFF"/>
        <w:spacing w:before="100" w:beforeAutospacing="1"/>
        <w:jc w:val="both"/>
        <w:textAlignment w:val="baseline"/>
      </w:pPr>
    </w:p>
    <w:p w14:paraId="13A04637" w14:textId="77777777" w:rsidR="003866A1" w:rsidRDefault="003866A1" w:rsidP="008D59D2">
      <w:pPr>
        <w:shd w:val="clear" w:color="auto" w:fill="FFFFFF"/>
        <w:spacing w:before="100" w:beforeAutospacing="1"/>
        <w:jc w:val="both"/>
        <w:textAlignment w:val="baseline"/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820"/>
        <w:gridCol w:w="2100"/>
        <w:gridCol w:w="1320"/>
        <w:gridCol w:w="1420"/>
        <w:gridCol w:w="860"/>
        <w:gridCol w:w="1008"/>
        <w:gridCol w:w="1220"/>
        <w:gridCol w:w="1080"/>
      </w:tblGrid>
      <w:tr w:rsidR="00A463FD" w14:paraId="757DAE36" w14:textId="77777777" w:rsidTr="00552DD3">
        <w:trPr>
          <w:trHeight w:val="315"/>
        </w:trPr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4065" w14:textId="0F40A072" w:rsidR="00A463FD" w:rsidRPr="00A463FD" w:rsidRDefault="00A463FD">
            <w:pPr>
              <w:rPr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69A3" w14:textId="77777777" w:rsidR="00A463FD" w:rsidRDefault="00A463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3714C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5DB5" w14:textId="77777777" w:rsidR="00A463FD" w:rsidRDefault="00A463FD">
            <w:pPr>
              <w:rPr>
                <w:sz w:val="20"/>
                <w:szCs w:val="20"/>
              </w:rPr>
            </w:pPr>
          </w:p>
        </w:tc>
      </w:tr>
      <w:tr w:rsidR="00A463FD" w14:paraId="1EA9B47E" w14:textId="77777777" w:rsidTr="00552DD3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13611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40C1B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1513B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63427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B8F56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6C7E9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FFE2D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6D797" w14:textId="77777777" w:rsidR="00A463FD" w:rsidRDefault="00A463FD">
            <w:pPr>
              <w:rPr>
                <w:sz w:val="20"/>
                <w:szCs w:val="20"/>
              </w:rPr>
            </w:pPr>
          </w:p>
        </w:tc>
      </w:tr>
      <w:tr w:rsidR="00A463FD" w14:paraId="29A3E6A8" w14:textId="77777777" w:rsidTr="00552DD3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E0A2E" w14:textId="3DA06714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980B2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AFB69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BE7AD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3AD7D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385DA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2D655" w14:textId="77777777" w:rsidR="00A463FD" w:rsidRDefault="00A463F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5686D" w14:textId="77777777" w:rsidR="00A463FD" w:rsidRDefault="00A463FD">
            <w:pPr>
              <w:rPr>
                <w:sz w:val="20"/>
                <w:szCs w:val="20"/>
              </w:rPr>
            </w:pPr>
          </w:p>
        </w:tc>
      </w:tr>
      <w:tr w:rsidR="00552DD3" w14:paraId="4251F1C9" w14:textId="77777777" w:rsidTr="00552DD3">
        <w:trPr>
          <w:trHeight w:val="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02A64" w14:textId="64A5F0C3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72A00" w14:textId="77777777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31C97" w14:textId="77777777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C977C" w14:textId="77777777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C4698" w14:textId="77777777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CE0D4" w14:textId="77777777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9F3EA" w14:textId="77777777" w:rsidR="00552DD3" w:rsidRDefault="00552DD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F3C1D" w14:textId="77777777" w:rsidR="00552DD3" w:rsidRDefault="00552DD3">
            <w:pPr>
              <w:rPr>
                <w:sz w:val="20"/>
                <w:szCs w:val="20"/>
              </w:rPr>
            </w:pPr>
          </w:p>
        </w:tc>
      </w:tr>
    </w:tbl>
    <w:p w14:paraId="68AE0081" w14:textId="77777777" w:rsidR="00D615DF" w:rsidRDefault="00D615DF" w:rsidP="00D62DF0">
      <w:pPr>
        <w:tabs>
          <w:tab w:val="center" w:pos="4536"/>
          <w:tab w:val="right" w:pos="9072"/>
        </w:tabs>
        <w:rPr>
          <w:rFonts w:eastAsia="Calibri"/>
          <w:sz w:val="20"/>
          <w:szCs w:val="20"/>
        </w:rPr>
      </w:pPr>
    </w:p>
    <w:p w14:paraId="258B9993" w14:textId="65F8299B" w:rsidR="003866A1" w:rsidRDefault="003866A1" w:rsidP="003866A1">
      <w:r>
        <w:t xml:space="preserve">                                                                                                           Ravnatelj:</w:t>
      </w:r>
    </w:p>
    <w:p w14:paraId="778F61B5" w14:textId="77777777" w:rsidR="003866A1" w:rsidRPr="00AD78CA" w:rsidRDefault="003866A1" w:rsidP="003866A1">
      <w:r>
        <w:t xml:space="preserve">                                                                                                           Darko Pšihistal, </w:t>
      </w:r>
      <w:proofErr w:type="spellStart"/>
      <w:r>
        <w:t>mag.cin</w:t>
      </w:r>
      <w:proofErr w:type="spellEnd"/>
      <w:r>
        <w:t>.</w:t>
      </w:r>
    </w:p>
    <w:p w14:paraId="683E2807" w14:textId="77777777" w:rsidR="00D615DF" w:rsidRDefault="00D615DF" w:rsidP="00D62DF0">
      <w:pPr>
        <w:tabs>
          <w:tab w:val="center" w:pos="4536"/>
          <w:tab w:val="right" w:pos="9072"/>
        </w:tabs>
        <w:rPr>
          <w:rFonts w:eastAsia="Calibri"/>
          <w:sz w:val="20"/>
          <w:szCs w:val="20"/>
        </w:rPr>
      </w:pPr>
    </w:p>
    <w:p w14:paraId="6BD2B42A" w14:textId="77777777" w:rsidR="00D615DF" w:rsidRPr="008D59D2" w:rsidRDefault="00D615DF" w:rsidP="00D62DF0">
      <w:pPr>
        <w:tabs>
          <w:tab w:val="center" w:pos="4536"/>
          <w:tab w:val="right" w:pos="9072"/>
        </w:tabs>
        <w:rPr>
          <w:rFonts w:eastAsia="Calibri"/>
          <w:sz w:val="20"/>
          <w:szCs w:val="20"/>
        </w:rPr>
      </w:pPr>
    </w:p>
    <w:p w14:paraId="1D380647" w14:textId="3B669E7E" w:rsidR="005E6335" w:rsidRPr="008D59D2" w:rsidRDefault="005E6335" w:rsidP="005E6335">
      <w:r w:rsidRPr="008D59D2">
        <w:t xml:space="preserve">                                                                                                       </w:t>
      </w:r>
    </w:p>
    <w:p w14:paraId="09558353" w14:textId="21585A1F" w:rsidR="005E6335" w:rsidRDefault="005E6335" w:rsidP="005E6335">
      <w:r>
        <w:t xml:space="preserve">                                            </w:t>
      </w:r>
    </w:p>
    <w:p w14:paraId="309BBD1A" w14:textId="77777777" w:rsidR="005E6335" w:rsidRDefault="005E6335" w:rsidP="005E6335"/>
    <w:p w14:paraId="61B25FE4" w14:textId="3A0117F7" w:rsidR="003866A1" w:rsidRPr="00AD78CA" w:rsidRDefault="005E6335" w:rsidP="003866A1">
      <w:r>
        <w:t xml:space="preserve">                                                                                                       </w:t>
      </w:r>
    </w:p>
    <w:sectPr w:rsidR="003866A1" w:rsidRPr="00AD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9A02" w14:textId="77777777" w:rsidR="00880024" w:rsidRDefault="00880024" w:rsidP="008C6677">
      <w:r>
        <w:separator/>
      </w:r>
    </w:p>
  </w:endnote>
  <w:endnote w:type="continuationSeparator" w:id="0">
    <w:p w14:paraId="00B43D2B" w14:textId="77777777" w:rsidR="00880024" w:rsidRDefault="00880024" w:rsidP="008C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6FC5" w14:textId="77777777" w:rsidR="00880024" w:rsidRDefault="00880024" w:rsidP="008C6677">
      <w:r>
        <w:separator/>
      </w:r>
    </w:p>
  </w:footnote>
  <w:footnote w:type="continuationSeparator" w:id="0">
    <w:p w14:paraId="28B5B404" w14:textId="77777777" w:rsidR="00880024" w:rsidRDefault="00880024" w:rsidP="008C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C70"/>
    <w:multiLevelType w:val="hybridMultilevel"/>
    <w:tmpl w:val="E4B82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63C2"/>
    <w:multiLevelType w:val="hybridMultilevel"/>
    <w:tmpl w:val="D47C0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69FE"/>
    <w:multiLevelType w:val="multilevel"/>
    <w:tmpl w:val="214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85664"/>
    <w:multiLevelType w:val="hybridMultilevel"/>
    <w:tmpl w:val="C928A920"/>
    <w:lvl w:ilvl="0" w:tplc="D83E3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777E"/>
    <w:multiLevelType w:val="hybridMultilevel"/>
    <w:tmpl w:val="A96C1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B07CB"/>
    <w:multiLevelType w:val="hybridMultilevel"/>
    <w:tmpl w:val="C3D8B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1928660">
    <w:abstractNumId w:val="4"/>
  </w:num>
  <w:num w:numId="2" w16cid:durableId="768694375">
    <w:abstractNumId w:val="2"/>
  </w:num>
  <w:num w:numId="3" w16cid:durableId="784690873">
    <w:abstractNumId w:val="5"/>
  </w:num>
  <w:num w:numId="4" w16cid:durableId="1383334097">
    <w:abstractNumId w:val="7"/>
  </w:num>
  <w:num w:numId="5" w16cid:durableId="1925604407">
    <w:abstractNumId w:val="0"/>
  </w:num>
  <w:num w:numId="6" w16cid:durableId="692803790">
    <w:abstractNumId w:val="1"/>
  </w:num>
  <w:num w:numId="7" w16cid:durableId="1731809153">
    <w:abstractNumId w:val="6"/>
  </w:num>
  <w:num w:numId="8" w16cid:durableId="107003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2D"/>
    <w:rsid w:val="00010E3D"/>
    <w:rsid w:val="000E6375"/>
    <w:rsid w:val="001169E1"/>
    <w:rsid w:val="00150309"/>
    <w:rsid w:val="00155243"/>
    <w:rsid w:val="00197AD3"/>
    <w:rsid w:val="001F7CED"/>
    <w:rsid w:val="0020454C"/>
    <w:rsid w:val="00211876"/>
    <w:rsid w:val="0021528C"/>
    <w:rsid w:val="00237E4F"/>
    <w:rsid w:val="00254BEB"/>
    <w:rsid w:val="002678B5"/>
    <w:rsid w:val="00275B98"/>
    <w:rsid w:val="00276B5A"/>
    <w:rsid w:val="00276CE6"/>
    <w:rsid w:val="00281E7A"/>
    <w:rsid w:val="00295106"/>
    <w:rsid w:val="002A3FF5"/>
    <w:rsid w:val="002B56C4"/>
    <w:rsid w:val="002D5519"/>
    <w:rsid w:val="003219C0"/>
    <w:rsid w:val="00333CCD"/>
    <w:rsid w:val="00372180"/>
    <w:rsid w:val="003856AD"/>
    <w:rsid w:val="003866A1"/>
    <w:rsid w:val="003878F3"/>
    <w:rsid w:val="00392759"/>
    <w:rsid w:val="003A55EE"/>
    <w:rsid w:val="00400281"/>
    <w:rsid w:val="00443BE9"/>
    <w:rsid w:val="0046794D"/>
    <w:rsid w:val="00472BBD"/>
    <w:rsid w:val="0048618E"/>
    <w:rsid w:val="00490F26"/>
    <w:rsid w:val="004B374B"/>
    <w:rsid w:val="004E67BA"/>
    <w:rsid w:val="00517EF0"/>
    <w:rsid w:val="00537BAC"/>
    <w:rsid w:val="00552DD3"/>
    <w:rsid w:val="005829FF"/>
    <w:rsid w:val="005D0933"/>
    <w:rsid w:val="005E5CB1"/>
    <w:rsid w:val="005E6335"/>
    <w:rsid w:val="005F309F"/>
    <w:rsid w:val="0060565D"/>
    <w:rsid w:val="006237A9"/>
    <w:rsid w:val="00661185"/>
    <w:rsid w:val="006809F4"/>
    <w:rsid w:val="00694545"/>
    <w:rsid w:val="006C2386"/>
    <w:rsid w:val="00740E69"/>
    <w:rsid w:val="00763E9C"/>
    <w:rsid w:val="00765D13"/>
    <w:rsid w:val="007867AB"/>
    <w:rsid w:val="0081304D"/>
    <w:rsid w:val="008165C4"/>
    <w:rsid w:val="008258B6"/>
    <w:rsid w:val="0084246B"/>
    <w:rsid w:val="00866886"/>
    <w:rsid w:val="00880024"/>
    <w:rsid w:val="00890C93"/>
    <w:rsid w:val="008C0BA3"/>
    <w:rsid w:val="008C1C32"/>
    <w:rsid w:val="008C6677"/>
    <w:rsid w:val="008D59D2"/>
    <w:rsid w:val="0099549F"/>
    <w:rsid w:val="009D43D2"/>
    <w:rsid w:val="00A23EBA"/>
    <w:rsid w:val="00A4401B"/>
    <w:rsid w:val="00A463FD"/>
    <w:rsid w:val="00A67C78"/>
    <w:rsid w:val="00A85F4A"/>
    <w:rsid w:val="00AC5056"/>
    <w:rsid w:val="00AD4367"/>
    <w:rsid w:val="00AD78CA"/>
    <w:rsid w:val="00AF02B0"/>
    <w:rsid w:val="00B109F7"/>
    <w:rsid w:val="00B21BF2"/>
    <w:rsid w:val="00BC5D3F"/>
    <w:rsid w:val="00C06390"/>
    <w:rsid w:val="00C35683"/>
    <w:rsid w:val="00C52DFB"/>
    <w:rsid w:val="00C741EF"/>
    <w:rsid w:val="00D309C4"/>
    <w:rsid w:val="00D615DF"/>
    <w:rsid w:val="00D62DF0"/>
    <w:rsid w:val="00D8288B"/>
    <w:rsid w:val="00D8672E"/>
    <w:rsid w:val="00DC002D"/>
    <w:rsid w:val="00DC6FF7"/>
    <w:rsid w:val="00DD6CD8"/>
    <w:rsid w:val="00E257FF"/>
    <w:rsid w:val="00E84F46"/>
    <w:rsid w:val="00E96E44"/>
    <w:rsid w:val="00EB58CB"/>
    <w:rsid w:val="00ED62EA"/>
    <w:rsid w:val="00EE2CD2"/>
    <w:rsid w:val="00F0396C"/>
    <w:rsid w:val="00FA5238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D01638"/>
  <w15:chartTrackingRefBased/>
  <w15:docId w15:val="{5B7DA85F-9C8F-439E-B0CF-DD0BEDF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0E6375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90C9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0C93"/>
    <w:rPr>
      <w:color w:val="954F72"/>
      <w:u w:val="single"/>
    </w:rPr>
  </w:style>
  <w:style w:type="paragraph" w:customStyle="1" w:styleId="msonormal0">
    <w:name w:val="msonormal"/>
    <w:basedOn w:val="Normal"/>
    <w:rsid w:val="00890C93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890C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890C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7">
    <w:name w:val="xl67"/>
    <w:basedOn w:val="Normal"/>
    <w:rsid w:val="00890C9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890C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890C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890C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890C9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styleId="StandardWeb">
    <w:name w:val="Normal (Web)"/>
    <w:basedOn w:val="Normal"/>
    <w:rsid w:val="000E6375"/>
    <w:pPr>
      <w:spacing w:before="100" w:beforeAutospacing="1" w:after="100" w:afterAutospacing="1"/>
    </w:pPr>
  </w:style>
  <w:style w:type="character" w:customStyle="1" w:styleId="Naslov7Char">
    <w:name w:val="Naslov 7 Char"/>
    <w:basedOn w:val="Zadanifontodlomka"/>
    <w:link w:val="Naslov7"/>
    <w:rsid w:val="000E6375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7E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66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66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C66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66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B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BA3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21528C"/>
    <w:pPr>
      <w:spacing w:after="0" w:line="240" w:lineRule="auto"/>
    </w:pPr>
    <w:rPr>
      <w:rFonts w:ascii="Calibri" w:eastAsia="Times New Roman" w:hAnsi="Calibri" w:cs="Times New Roman"/>
    </w:rPr>
  </w:style>
  <w:style w:type="character" w:styleId="Neupadljivoisticanje">
    <w:name w:val="Subtle Emphasis"/>
    <w:uiPriority w:val="19"/>
    <w:qFormat/>
    <w:rsid w:val="0021528C"/>
    <w:rPr>
      <w:i/>
      <w:iCs/>
      <w:color w:val="404040"/>
    </w:rPr>
  </w:style>
  <w:style w:type="character" w:customStyle="1" w:styleId="CharChar17">
    <w:name w:val="Char Char17"/>
    <w:rsid w:val="005D0933"/>
    <w:rPr>
      <w:i/>
      <w:iCs/>
      <w:u w:val="single"/>
      <w:lang w:val="hr-HR" w:eastAsia="en-US" w:bidi="ar-SA"/>
    </w:rPr>
  </w:style>
  <w:style w:type="character" w:customStyle="1" w:styleId="markq6tjawyx1">
    <w:name w:val="markq6tjawyx1"/>
    <w:basedOn w:val="Zadanifontodlomka"/>
    <w:rsid w:val="00E84F46"/>
  </w:style>
  <w:style w:type="character" w:customStyle="1" w:styleId="markvdarz8fli">
    <w:name w:val="markvdarz8fli"/>
    <w:basedOn w:val="Zadanifontodlomka"/>
    <w:rsid w:val="00E84F46"/>
  </w:style>
  <w:style w:type="character" w:customStyle="1" w:styleId="markf767tpbhg">
    <w:name w:val="markf767tpbhg"/>
    <w:basedOn w:val="Zadanifontodlomka"/>
    <w:rsid w:val="00E8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620E-DF95-48F1-836A-1307015E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Šeremet</dc:creator>
  <cp:keywords/>
  <dc:description/>
  <cp:lastModifiedBy>Ivana Šeremet</cp:lastModifiedBy>
  <cp:revision>34</cp:revision>
  <cp:lastPrinted>2025-07-18T08:09:00Z</cp:lastPrinted>
  <dcterms:created xsi:type="dcterms:W3CDTF">2023-07-31T21:21:00Z</dcterms:created>
  <dcterms:modified xsi:type="dcterms:W3CDTF">2025-07-18T08:10:00Z</dcterms:modified>
</cp:coreProperties>
</file>